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872B09" w:rsidRPr="002A3568" w14:paraId="4338F46F" w14:textId="77777777" w:rsidTr="00944754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58F60F58" w14:textId="77777777" w:rsidR="00872B09" w:rsidRPr="00940F37" w:rsidRDefault="00872B09" w:rsidP="00944754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„Реконстукција на локален пат во н. Мороишта, Општина Струга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”</w:t>
            </w:r>
          </w:p>
          <w:p w14:paraId="72B78BF1" w14:textId="77777777" w:rsidR="00872B09" w:rsidRPr="00EB2482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068088C0" w14:textId="77777777" w:rsidR="00872B09" w:rsidRPr="00271E48" w:rsidRDefault="00872B09" w:rsidP="00944754">
            <w:pPr>
              <w:jc w:val="both"/>
              <w:rPr>
                <w:sz w:val="18"/>
                <w:szCs w:val="18"/>
                <w:lang w:val="mk-MK"/>
              </w:rPr>
            </w:pPr>
            <w:r>
              <w:rPr>
                <w:sz w:val="18"/>
                <w:szCs w:val="18"/>
                <w:lang w:val="mk-MK"/>
              </w:rPr>
              <w:t>Општина Струга се наоѓа во југозападниот дел на РСМ и граничи со Општина Дебрца на исток, Општина Центар Жупа на север, Општина Ввечани и Република Албанија на север и Охридско Езеро на југ. Согласно со податоците од пописот во 2021 Општината има 50.980 жители. Во општината има 50 села.</w:t>
            </w:r>
          </w:p>
          <w:p w14:paraId="0C0AEC52" w14:textId="77777777" w:rsidR="00872B09" w:rsidRPr="00271E48" w:rsidRDefault="00872B09" w:rsidP="00944754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 xml:space="preserve">Локалниот пат кој ќе се реконструира се наоѓа во н. Мороишта во Општиона Струга и е со вкупна должина од 2.466,7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. Трасата започнува на расксрницата со регионалниот пат Р2243 кој ги поврзува Струга и н. Драслајца на запад и завршува во н. Мороишта покрај црквата Св. Спас  на исток.</w:t>
            </w:r>
          </w:p>
          <w:p w14:paraId="1A18AC9B" w14:textId="77777777" w:rsidR="00872B09" w:rsidRDefault="00872B09" w:rsidP="00944754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  <w:p w14:paraId="3FA26D3B" w14:textId="77777777" w:rsidR="00872B09" w:rsidRPr="000508A8" w:rsidRDefault="00872B09" w:rsidP="00944754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Патот е асфалтиран, но е во лоши услови со лонгитудинални и трансверзални пукнатини, без тротоар.</w:t>
            </w:r>
          </w:p>
          <w:p w14:paraId="55454FBE" w14:textId="77777777" w:rsidR="00872B09" w:rsidRDefault="00872B09" w:rsidP="00944754">
            <w:pP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F1107A9" w14:textId="77777777" w:rsidR="00872B09" w:rsidRPr="00D61B3E" w:rsidRDefault="00872B09" w:rsidP="00944754">
            <w:pPr>
              <w:jc w:val="both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„Реконстукција на локален пат во н. Мороишта, Општина Струга“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2B5FBDDB" w14:textId="77777777" w:rsidR="00872B09" w:rsidRPr="00C51C3C" w:rsidRDefault="00872B09" w:rsidP="00872B0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Струга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7" w:history="1">
              <w:r w:rsidRPr="00C51C3C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https://www.struga.gov.mk/mk/</w:t>
              </w:r>
            </w:hyperlink>
          </w:p>
          <w:p w14:paraId="13033DC6" w14:textId="77777777" w:rsidR="00872B09" w:rsidRPr="00EF64FE" w:rsidRDefault="00872B09" w:rsidP="00872B0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2A356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2A356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</w:p>
          <w:p w14:paraId="7E6585C8" w14:textId="7B2E863E" w:rsidR="00872B09" w:rsidRPr="002A3568" w:rsidRDefault="00872B09" w:rsidP="00872B09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   </w:t>
            </w:r>
            <w:hyperlink r:id="rId9" w:history="1">
              <w:r w:rsidRPr="00D6149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17CA33FB" w14:textId="77777777" w:rsidR="00872B09" w:rsidRPr="002A3568" w:rsidRDefault="00872B09" w:rsidP="00944754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872B09" w:rsidRPr="002A3568" w14:paraId="73674C3C" w14:textId="77777777" w:rsidTr="00944754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7B060E67" w14:textId="77777777" w:rsidR="00872B09" w:rsidRPr="00EB2482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32637B95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D88C7D7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872B09" w:rsidRPr="002A3568" w14:paraId="29B50F35" w14:textId="77777777" w:rsidTr="00944754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5CE47E6D" w14:textId="77777777" w:rsidR="00872B09" w:rsidRPr="00EB2482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44D2F357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BCE1EFA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D875CDF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2D02C130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DBA10AC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461E8634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1C0F4C10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11E5CD1E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7FAC06E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872B09" w:rsidRPr="002A3568" w14:paraId="19C68D98" w14:textId="77777777" w:rsidTr="00944754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2153687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EB2482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2A356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  <w:t>:</w:t>
            </w:r>
          </w:p>
          <w:p w14:paraId="22D99D74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117A3EC4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872B09" w:rsidRPr="002A3568" w14:paraId="16EC244D" w14:textId="77777777" w:rsidTr="00944754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132B005" w14:textId="77777777" w:rsidR="00872B09" w:rsidRPr="00EB2482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Потпис</w:t>
            </w:r>
          </w:p>
          <w:p w14:paraId="4097ABAC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15A1C911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7AAB5402" w14:textId="77777777" w:rsidR="00872B09" w:rsidRPr="00EB2482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Дата</w:t>
            </w:r>
          </w:p>
          <w:p w14:paraId="19C2D1D5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1F88AA7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872B09" w:rsidRPr="002A3568" w14:paraId="66016C99" w14:textId="77777777" w:rsidTr="00944754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C396C92" w14:textId="77777777" w:rsidR="00872B09" w:rsidRPr="00662916" w:rsidRDefault="00872B09" w:rsidP="00944754">
            <w:pPr>
              <w:shd w:val="clear" w:color="auto" w:fill="E2EFD9" w:themeFill="accent6" w:themeFillTint="33"/>
              <w:spacing w:after="0"/>
              <w:jc w:val="both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„Реконструкција на локален пат во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н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.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Мороишта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во Општина Струга“</w:t>
            </w:r>
            <w:r w:rsidRPr="00047B0E">
              <w:rPr>
                <w:rFonts w:ascii="Calibri" w:eastAsia="Calibri" w:hAnsi="Calibri" w:cs="Calibri"/>
                <w:b/>
                <w:sz w:val="18"/>
                <w:szCs w:val="18"/>
              </w:rPr>
              <w:t>,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</w:t>
            </w:r>
            <w:r w:rsidRPr="00047B0E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</w:p>
          <w:p w14:paraId="42070BA2" w14:textId="4A935640" w:rsidR="00872B09" w:rsidRPr="002A3568" w:rsidRDefault="00872B09" w:rsidP="00944754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ц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ева</w:t>
            </w:r>
          </w:p>
          <w:p w14:paraId="23562397" w14:textId="131B2E83" w:rsidR="00872B09" w:rsidRPr="002A3568" w:rsidRDefault="00872B09" w:rsidP="00944754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hyperlink r:id="rId10" w:history="1">
              <w:r w:rsidRPr="00CC1479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</w:p>
          <w:p w14:paraId="3AA01440" w14:textId="77777777" w:rsidR="00872B09" w:rsidRPr="00D918F1" w:rsidRDefault="00872B09" w:rsidP="00944754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„Реконструкција на локален пат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во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н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Мороишта во Општина Струга“</w:t>
            </w:r>
          </w:p>
          <w:p w14:paraId="2A359E2A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EB2482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датум на објава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 )</w:t>
            </w:r>
          </w:p>
        </w:tc>
      </w:tr>
      <w:tr w:rsidR="00872B09" w:rsidRPr="002A3568" w14:paraId="447785ED" w14:textId="77777777" w:rsidTr="00944754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FB02463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370DF02" w14:textId="77777777" w:rsidR="00872B09" w:rsidRPr="002A3568" w:rsidRDefault="00872B09" w:rsidP="00944754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1C27F891" w14:textId="77777777" w:rsidR="00872B09" w:rsidRPr="002A3568" w:rsidRDefault="00872B09" w:rsidP="00944754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EB2482"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420BC4"/>
    <w:rsid w:val="00456BAF"/>
    <w:rsid w:val="004E39BF"/>
    <w:rsid w:val="00535473"/>
    <w:rsid w:val="0053679E"/>
    <w:rsid w:val="005761D8"/>
    <w:rsid w:val="005C4AAF"/>
    <w:rsid w:val="006072FB"/>
    <w:rsid w:val="007675B0"/>
    <w:rsid w:val="007D4AE8"/>
    <w:rsid w:val="007E4945"/>
    <w:rsid w:val="00872B09"/>
    <w:rsid w:val="009E76C9"/>
    <w:rsid w:val="00A00EA7"/>
    <w:rsid w:val="00B43B3D"/>
    <w:rsid w:val="00C1490E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struga.gov.mk/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14</cp:revision>
  <dcterms:created xsi:type="dcterms:W3CDTF">2021-02-27T18:31:00Z</dcterms:created>
  <dcterms:modified xsi:type="dcterms:W3CDTF">2022-10-13T08:50:00Z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