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BD1650" w:rsidRPr="002A3568" w14:paraId="2FE154B2" w14:textId="77777777" w:rsidTr="00515008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01D17032" w14:textId="77777777" w:rsidR="00BD1650" w:rsidRPr="00171B7B" w:rsidRDefault="00BD1650" w:rsidP="00515008">
            <w:pPr>
              <w:pStyle w:val="Header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bookmarkStart w:id="0" w:name="_Hlk101943816"/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bookmarkStart w:id="1" w:name="_Hlk101943851"/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 w:rsidRPr="00171B7B">
              <w:rPr>
                <w:i/>
                <w:iCs/>
                <w:sz w:val="20"/>
                <w:szCs w:val="20"/>
                <w:lang w:val="mk-MK"/>
              </w:rPr>
              <w:t xml:space="preserve"> 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>Ре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конструкција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на постое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чка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улиц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 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Јури Гагарин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и паркинг простор 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>во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Општина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Карпош Град Скопје </w:t>
            </w:r>
            <w:bookmarkEnd w:id="1"/>
          </w:p>
          <w:p w14:paraId="5AC9F0D9" w14:textId="77777777" w:rsidR="00BD1650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</w:p>
          <w:p w14:paraId="1029A801" w14:textId="77777777" w:rsidR="00BD1650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291ED973" w14:textId="77777777" w:rsidR="00BD1650" w:rsidRPr="00BA5B53" w:rsidRDefault="00BD1650" w:rsidP="00515008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0CAD">
              <w:rPr>
                <w:sz w:val="18"/>
                <w:szCs w:val="18"/>
                <w:lang w:val="mk-MK"/>
              </w:rPr>
              <w:t>Проектната област каде што ќе се одвиваат проектните активности за Реконструкција на улицата „Јури Гагарин“ се наоѓа во Општина Карпош, во централниот дел на Град Скопје.</w:t>
            </w:r>
            <w:r>
              <w:rPr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Во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согласност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со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потребите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на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општина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Карпош</w:t>
            </w:r>
            <w:proofErr w:type="spellEnd"/>
            <w:r w:rsidRPr="00440CAD">
              <w:rPr>
                <w:sz w:val="18"/>
                <w:szCs w:val="18"/>
              </w:rPr>
              <w:t xml:space="preserve"> и </w:t>
            </w:r>
            <w:proofErr w:type="spellStart"/>
            <w:r w:rsidRPr="00440CAD">
              <w:rPr>
                <w:sz w:val="18"/>
                <w:szCs w:val="18"/>
              </w:rPr>
              <w:t>во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согласност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со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стандардите</w:t>
            </w:r>
            <w:proofErr w:type="spellEnd"/>
            <w:r w:rsidRPr="00440CAD">
              <w:rPr>
                <w:sz w:val="18"/>
                <w:szCs w:val="18"/>
              </w:rPr>
              <w:t xml:space="preserve"> и </w:t>
            </w:r>
            <w:proofErr w:type="spellStart"/>
            <w:r w:rsidRPr="00440CAD">
              <w:rPr>
                <w:sz w:val="18"/>
                <w:szCs w:val="18"/>
              </w:rPr>
              <w:t>нормативите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за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проектирање</w:t>
            </w:r>
            <w:proofErr w:type="spellEnd"/>
            <w:r w:rsidRPr="00440CAD">
              <w:rPr>
                <w:sz w:val="18"/>
                <w:szCs w:val="18"/>
              </w:rPr>
              <w:t xml:space="preserve"> и </w:t>
            </w:r>
            <w:proofErr w:type="spellStart"/>
            <w:r w:rsidRPr="00440CAD">
              <w:rPr>
                <w:sz w:val="18"/>
                <w:szCs w:val="18"/>
              </w:rPr>
              <w:t>други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технички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прописи</w:t>
            </w:r>
            <w:proofErr w:type="spellEnd"/>
            <w:r w:rsidRPr="00440CAD">
              <w:rPr>
                <w:sz w:val="18"/>
                <w:szCs w:val="18"/>
              </w:rPr>
              <w:t xml:space="preserve">, </w:t>
            </w:r>
            <w:proofErr w:type="spellStart"/>
            <w:r w:rsidRPr="00440CAD">
              <w:rPr>
                <w:sz w:val="18"/>
                <w:szCs w:val="18"/>
              </w:rPr>
              <w:t>како</w:t>
            </w:r>
            <w:proofErr w:type="spellEnd"/>
            <w:r w:rsidRPr="00440CAD">
              <w:rPr>
                <w:sz w:val="18"/>
                <w:szCs w:val="18"/>
              </w:rPr>
              <w:t xml:space="preserve"> и </w:t>
            </w:r>
            <w:proofErr w:type="spellStart"/>
            <w:r w:rsidRPr="00440CAD">
              <w:rPr>
                <w:sz w:val="18"/>
                <w:szCs w:val="18"/>
              </w:rPr>
              <w:t>законската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регулатива</w:t>
            </w:r>
            <w:proofErr w:type="spellEnd"/>
            <w:r w:rsidRPr="00440CAD">
              <w:rPr>
                <w:sz w:val="18"/>
                <w:szCs w:val="18"/>
              </w:rPr>
              <w:t xml:space="preserve">, </w:t>
            </w:r>
            <w:proofErr w:type="spellStart"/>
            <w:r w:rsidRPr="00440CAD">
              <w:rPr>
                <w:sz w:val="18"/>
                <w:szCs w:val="18"/>
              </w:rPr>
              <w:t>Закон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за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градење</w:t>
            </w:r>
            <w:proofErr w:type="spellEnd"/>
            <w:r w:rsidRPr="00440CAD">
              <w:rPr>
                <w:sz w:val="18"/>
                <w:szCs w:val="18"/>
              </w:rPr>
              <w:t xml:space="preserve">, </w:t>
            </w:r>
            <w:proofErr w:type="spellStart"/>
            <w:r w:rsidRPr="00440CAD">
              <w:rPr>
                <w:sz w:val="18"/>
                <w:szCs w:val="18"/>
              </w:rPr>
              <w:t>Закон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за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просторно</w:t>
            </w:r>
            <w:proofErr w:type="spellEnd"/>
            <w:r w:rsidRPr="00440CAD">
              <w:rPr>
                <w:sz w:val="18"/>
                <w:szCs w:val="18"/>
              </w:rPr>
              <w:t xml:space="preserve"> и </w:t>
            </w:r>
            <w:proofErr w:type="spellStart"/>
            <w:r w:rsidRPr="00440CAD">
              <w:rPr>
                <w:sz w:val="18"/>
                <w:szCs w:val="18"/>
              </w:rPr>
              <w:t>урбанистичко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планирање</w:t>
            </w:r>
            <w:proofErr w:type="spellEnd"/>
            <w:r w:rsidRPr="00440CAD">
              <w:rPr>
                <w:sz w:val="18"/>
                <w:szCs w:val="18"/>
              </w:rPr>
              <w:t xml:space="preserve">, </w:t>
            </w:r>
            <w:proofErr w:type="spellStart"/>
            <w:r w:rsidRPr="00440CAD">
              <w:rPr>
                <w:sz w:val="18"/>
                <w:szCs w:val="18"/>
              </w:rPr>
              <w:t>Закон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за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заштита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на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животната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средина</w:t>
            </w:r>
            <w:proofErr w:type="spellEnd"/>
            <w:r w:rsidRPr="00440CAD">
              <w:rPr>
                <w:sz w:val="18"/>
                <w:szCs w:val="18"/>
              </w:rPr>
              <w:t xml:space="preserve"> и </w:t>
            </w:r>
            <w:proofErr w:type="spellStart"/>
            <w:r w:rsidRPr="00440CAD">
              <w:rPr>
                <w:sz w:val="18"/>
                <w:szCs w:val="18"/>
              </w:rPr>
              <w:t>други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Закони</w:t>
            </w:r>
            <w:proofErr w:type="spellEnd"/>
            <w:r w:rsidRPr="00440CAD">
              <w:rPr>
                <w:sz w:val="18"/>
                <w:szCs w:val="18"/>
              </w:rPr>
              <w:t xml:space="preserve"> и </w:t>
            </w:r>
            <w:proofErr w:type="spellStart"/>
            <w:r w:rsidRPr="00440CAD">
              <w:rPr>
                <w:sz w:val="18"/>
                <w:szCs w:val="18"/>
              </w:rPr>
              <w:t>Правилници</w:t>
            </w:r>
            <w:proofErr w:type="spellEnd"/>
            <w:r w:rsidRPr="00440CAD">
              <w:rPr>
                <w:sz w:val="18"/>
                <w:szCs w:val="18"/>
              </w:rPr>
              <w:t xml:space="preserve"> е </w:t>
            </w:r>
            <w:proofErr w:type="spellStart"/>
            <w:r w:rsidRPr="00440CAD">
              <w:rPr>
                <w:sz w:val="18"/>
                <w:szCs w:val="18"/>
              </w:rPr>
              <w:t>изработен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Основен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Проект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за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реконструкција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на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дел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од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ул</w:t>
            </w:r>
            <w:proofErr w:type="spellEnd"/>
            <w:r w:rsidRPr="00440CAD">
              <w:rPr>
                <w:sz w:val="18"/>
                <w:szCs w:val="18"/>
              </w:rPr>
              <w:t xml:space="preserve">. </w:t>
            </w:r>
            <w:proofErr w:type="spellStart"/>
            <w:r w:rsidRPr="00440CAD">
              <w:rPr>
                <w:sz w:val="18"/>
                <w:szCs w:val="18"/>
              </w:rPr>
              <w:t>Јуриј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Гагарин</w:t>
            </w:r>
            <w:proofErr w:type="spellEnd"/>
            <w:r w:rsidRPr="00440CAD">
              <w:rPr>
                <w:sz w:val="18"/>
                <w:szCs w:val="18"/>
              </w:rPr>
              <w:t xml:space="preserve"> -УЗ </w:t>
            </w:r>
            <w:proofErr w:type="spellStart"/>
            <w:r w:rsidRPr="00440CAD">
              <w:rPr>
                <w:sz w:val="18"/>
                <w:szCs w:val="18"/>
              </w:rPr>
              <w:t>Кузман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Јосифовски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Питу</w:t>
            </w:r>
            <w:proofErr w:type="spellEnd"/>
            <w:r w:rsidRPr="00440CAD">
              <w:rPr>
                <w:sz w:val="18"/>
                <w:szCs w:val="18"/>
              </w:rPr>
              <w:t xml:space="preserve">, Општина </w:t>
            </w:r>
            <w:proofErr w:type="spellStart"/>
            <w:r w:rsidRPr="00440CAD">
              <w:rPr>
                <w:sz w:val="18"/>
                <w:szCs w:val="18"/>
              </w:rPr>
              <w:t>Карпош</w:t>
            </w:r>
            <w:proofErr w:type="spellEnd"/>
            <w:r w:rsidRPr="00440CAD">
              <w:rPr>
                <w:sz w:val="18"/>
                <w:szCs w:val="18"/>
              </w:rPr>
              <w:t xml:space="preserve">. </w:t>
            </w:r>
            <w:proofErr w:type="spellStart"/>
            <w:r w:rsidRPr="00440CAD">
              <w:rPr>
                <w:sz w:val="18"/>
                <w:szCs w:val="18"/>
              </w:rPr>
              <w:t>Според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состојбата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на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терен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локалитетот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кој</w:t>
            </w:r>
            <w:proofErr w:type="spellEnd"/>
            <w:r w:rsidRPr="00440CAD">
              <w:rPr>
                <w:sz w:val="18"/>
                <w:szCs w:val="18"/>
              </w:rPr>
              <w:t xml:space="preserve"> е </w:t>
            </w:r>
            <w:proofErr w:type="spellStart"/>
            <w:r w:rsidRPr="00440CAD">
              <w:rPr>
                <w:sz w:val="18"/>
                <w:szCs w:val="18"/>
              </w:rPr>
              <w:t>предмет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на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Проектот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се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наоѓа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на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територија</w:t>
            </w:r>
            <w:proofErr w:type="spellEnd"/>
            <w:r w:rsidRPr="00440CAD">
              <w:rPr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sz w:val="18"/>
                <w:szCs w:val="18"/>
              </w:rPr>
              <w:t>на</w:t>
            </w:r>
            <w:proofErr w:type="spellEnd"/>
            <w:r w:rsidRPr="00440CAD">
              <w:rPr>
                <w:sz w:val="18"/>
                <w:szCs w:val="18"/>
              </w:rPr>
              <w:t xml:space="preserve"> Општина </w:t>
            </w:r>
            <w:proofErr w:type="spellStart"/>
            <w:r w:rsidRPr="00440CAD">
              <w:rPr>
                <w:sz w:val="18"/>
                <w:szCs w:val="18"/>
              </w:rPr>
              <w:t>Карпош</w:t>
            </w:r>
            <w:proofErr w:type="spellEnd"/>
            <w:r w:rsidRPr="00440CAD">
              <w:rPr>
                <w:sz w:val="18"/>
                <w:szCs w:val="18"/>
              </w:rPr>
              <w:t xml:space="preserve"> - </w:t>
            </w:r>
            <w:proofErr w:type="spellStart"/>
            <w:r w:rsidRPr="00440CAD">
              <w:rPr>
                <w:sz w:val="18"/>
                <w:szCs w:val="18"/>
              </w:rPr>
              <w:t>Скопје</w:t>
            </w:r>
            <w:proofErr w:type="spellEnd"/>
            <w:r w:rsidRPr="00440CA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Должината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улицата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која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треба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да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се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опфати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со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вкупна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должина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174,29м и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површина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1742,90м2.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Подрачјето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проектниот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опфат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се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наоѓа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во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населбата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Тафталиџе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Општина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Карпош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Сообраќајна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структура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следната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Профилот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улицата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во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основа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 6.00 м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коловоз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 2х2,00м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тротоар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Микролокација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предметниот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опфат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граничи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со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</w:p>
          <w:p w14:paraId="1F88D544" w14:textId="77777777" w:rsidR="00BD1650" w:rsidRPr="00440CAD" w:rsidRDefault="00BD1650" w:rsidP="00BD16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источната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се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наоѓаат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индивидуални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куќи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proofErr w:type="gram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5F6A45ED" w14:textId="77777777" w:rsidR="00BD1650" w:rsidRPr="00440CAD" w:rsidRDefault="00BD1650" w:rsidP="00BD16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oд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западната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се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наоѓа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детска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градинка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proofErr w:type="gram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0B098618" w14:textId="77777777" w:rsidR="00BD1650" w:rsidRPr="00440CAD" w:rsidRDefault="00BD1650" w:rsidP="00BD16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34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северната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се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наоѓаат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индивидуални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куќи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згради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proofErr w:type="gramEnd"/>
          </w:p>
          <w:p w14:paraId="0769F6E7" w14:textId="77777777" w:rsidR="00BD1650" w:rsidRPr="00440CAD" w:rsidRDefault="00BD1650" w:rsidP="00BD16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јужната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се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наоѓаат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индивидуални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куќи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  <w:p w14:paraId="0731A788" w14:textId="77777777" w:rsidR="00BD1650" w:rsidRPr="00440CAD" w:rsidRDefault="00BD1650" w:rsidP="0051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6F4B4F2" w14:textId="77777777" w:rsidR="00BD1650" w:rsidRPr="00BA5B53" w:rsidRDefault="00BD1650" w:rsidP="0051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Макролокација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предметниот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опфат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граничи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>со</w:t>
            </w:r>
            <w:proofErr w:type="spellEnd"/>
            <w:r w:rsidRPr="00BA5B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</w:p>
          <w:p w14:paraId="44CE65A8" w14:textId="77777777" w:rsidR="00BD1650" w:rsidRPr="00440CAD" w:rsidRDefault="00BD1650" w:rsidP="00BD16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западна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сса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255м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граничи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со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ОУ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Владо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Тасевски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proofErr w:type="gram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3D1EAB48" w14:textId="77777777" w:rsidR="00BD1650" w:rsidRPr="00440CAD" w:rsidRDefault="00BD1650" w:rsidP="00BD16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oд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источна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сса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300м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граничи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со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Бродфорска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proofErr w:type="gram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5C9DCD69" w14:textId="77777777" w:rsidR="00BD1650" w:rsidRPr="00440CAD" w:rsidRDefault="00BD1650" w:rsidP="00BD16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северна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сса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150 м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граничи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со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Метрополит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Теодосиј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Гологанов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proofErr w:type="gram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2CDE1055" w14:textId="77777777" w:rsidR="00BD1650" w:rsidRPr="00440CAD" w:rsidRDefault="00BD1650" w:rsidP="00BD16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јужна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сса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150м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граничи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со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Козле</w:t>
            </w:r>
            <w:proofErr w:type="spellEnd"/>
            <w:r w:rsidRPr="00440CA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5E2568E4" w14:textId="77777777" w:rsidR="00BD1650" w:rsidRPr="00440CAD" w:rsidRDefault="00BD1650" w:rsidP="00515008">
            <w:pPr>
              <w:spacing w:before="120" w:after="120" w:line="276" w:lineRule="auto"/>
              <w:jc w:val="both"/>
              <w:rPr>
                <w:sz w:val="18"/>
                <w:szCs w:val="18"/>
                <w:lang w:val="mk-MK"/>
              </w:rPr>
            </w:pPr>
            <w:r w:rsidRPr="00440CAD">
              <w:rPr>
                <w:sz w:val="18"/>
                <w:szCs w:val="18"/>
                <w:lang w:val="mk-MK"/>
              </w:rPr>
              <w:t xml:space="preserve">Моменталната состојба на улицата „Јури Гагарин“  е во лоша состојба, со надолжни и попречни пукнатини, оштетување и извршени се прекопи за поставување на подземна атмосферка канализациона инсталација. </w:t>
            </w:r>
          </w:p>
          <w:p w14:paraId="5C35CEC4" w14:textId="77777777" w:rsidR="00BD1650" w:rsidRPr="00B85592" w:rsidRDefault="00BD1650" w:rsidP="00515008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</w:p>
          <w:p w14:paraId="174A0A2D" w14:textId="77777777" w:rsidR="00BD1650" w:rsidRPr="00D61B3E" w:rsidRDefault="00BD1650" w:rsidP="00515008">
            <w:pPr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за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„Реконструкција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на постоечк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а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улиц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 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Јури Гагарин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со паркинг простор 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>во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Општина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Карпош,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Град Скопје</w:t>
            </w:r>
            <w:r w:rsidRPr="00F27FA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 достапна на следниве веб-страни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E751314" w14:textId="77777777" w:rsidR="00BD1650" w:rsidRPr="00472484" w:rsidRDefault="00BD1650" w:rsidP="00BD16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Општина Карпош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</w:t>
            </w:r>
            <w:hyperlink r:id="rId5" w:history="1">
              <w:r w:rsidRPr="00E5045E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https://karpos.gov.mk/</w:t>
              </w:r>
            </w:hyperlink>
          </w:p>
          <w:p w14:paraId="3C69989E" w14:textId="77777777" w:rsidR="00BD1650" w:rsidRPr="00E5045E" w:rsidRDefault="00BD1650" w:rsidP="00BD16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ЕИП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                        </w:t>
            </w:r>
            <w:hyperlink r:id="rId6" w:history="1">
              <w:r w:rsidRPr="00E5045E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3A10C1A3" w14:textId="77777777" w:rsidR="00BD1650" w:rsidRPr="002A3568" w:rsidRDefault="00BD1650" w:rsidP="00515008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BD1650" w:rsidRPr="002A3568" w14:paraId="708C298E" w14:textId="77777777" w:rsidTr="00515008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727AF944" w14:textId="77777777" w:rsidR="00BD1650" w:rsidRPr="0012568D" w:rsidRDefault="00BD1650" w:rsidP="00515008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72B9A647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72CE64E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BD1650" w:rsidRPr="002A3568" w14:paraId="7E91B988" w14:textId="77777777" w:rsidTr="00515008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4C232A04" w14:textId="77777777" w:rsidR="00BD1650" w:rsidRPr="0012568D" w:rsidRDefault="00BD1650" w:rsidP="00515008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7C0FB7FC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02124B44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2DE27FA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6FB0651B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D23B1FF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3D7060C6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1B3D5D4E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1C3136DB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271227E8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BD1650" w:rsidRPr="002A3568" w14:paraId="5F9A2E91" w14:textId="77777777" w:rsidTr="00515008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78796D6" w14:textId="77777777" w:rsidR="00BD1650" w:rsidRPr="0012568D" w:rsidRDefault="00BD1650" w:rsidP="00515008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12568D"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67B2501A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3EB7F6C6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3282D10A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BD1650" w:rsidRPr="002A3568" w14:paraId="624ED1DC" w14:textId="77777777" w:rsidTr="00515008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38F96AE2" w14:textId="77777777" w:rsidR="00BD1650" w:rsidRPr="0012568D" w:rsidRDefault="00BD1650" w:rsidP="00515008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538643C1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0E23347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60D627C6" w14:textId="77777777" w:rsidR="00BD1650" w:rsidRPr="0012568D" w:rsidRDefault="00BD1650" w:rsidP="00515008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12C0AFDF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0527C8CB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BD1650" w:rsidRPr="002A3568" w14:paraId="798279BF" w14:textId="77777777" w:rsidTr="00515008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04D5D505" w14:textId="77777777" w:rsidR="00BD1650" w:rsidRPr="00B85592" w:rsidRDefault="00BD1650" w:rsidP="00515008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lastRenderedPageBreak/>
              <w:t>Ако имате какви било коментари / предлози или дополнувања за предложените мерки на Контролната листа на ПУЖССА за „</w:t>
            </w:r>
            <w:r w:rsidRPr="00B85592">
              <w:rPr>
                <w:i/>
                <w:iCs/>
                <w:sz w:val="18"/>
                <w:szCs w:val="18"/>
                <w:lang w:val="mk-MK"/>
              </w:rPr>
              <w:t xml:space="preserve">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Реконструкција на постоечката улица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Јури Гагарин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“ во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Град Скопје,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Општина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Карпош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1A59CA1B" w14:textId="77777777" w:rsidR="00BD1650" w:rsidRPr="00B85592" w:rsidRDefault="00BD1650" w:rsidP="00515008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ц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01AB2483" w14:textId="77777777" w:rsidR="00BD1650" w:rsidRPr="00B85592" w:rsidRDefault="00BD1650" w:rsidP="00515008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          </w:t>
            </w:r>
            <w:hyperlink r:id="rId7" w:history="1">
              <w:r w:rsidRPr="0000317D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saska.bogdanova.ajceva@piu</w:t>
              </w:r>
              <w:r w:rsidRPr="0000317D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mk-MK"/>
                </w:rPr>
                <w:t>.</w:t>
              </w:r>
              <w:r w:rsidRPr="0000317D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mtc.gov.mk</w:t>
              </w:r>
            </w:hyperlink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</w:t>
            </w:r>
          </w:p>
          <w:p w14:paraId="1DA459A2" w14:textId="77777777" w:rsidR="00BD1650" w:rsidRPr="00B85592" w:rsidRDefault="00BD1650" w:rsidP="00515008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Во рок од 14 дена по објавувањето на Контролната листа на ПУЖССА за „Реконструкција на постоечка ули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ца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Јури Гагарин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  <w:r w:rsidRPr="0000317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и паркинг простор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Општина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Карпош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во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Град Скопје </w:t>
            </w:r>
          </w:p>
          <w:p w14:paraId="450F5D7E" w14:textId="77777777" w:rsidR="00BD1650" w:rsidRPr="00234C1C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</w:t>
            </w:r>
          </w:p>
        </w:tc>
      </w:tr>
      <w:tr w:rsidR="00BD1650" w:rsidRPr="002A3568" w14:paraId="1E8A2B43" w14:textId="77777777" w:rsidTr="00515008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D857F76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25779B13" w14:textId="77777777" w:rsidR="00BD1650" w:rsidRPr="002A3568" w:rsidRDefault="00BD1650" w:rsidP="0051500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7884ED22" w14:textId="77777777" w:rsidR="00BD1650" w:rsidRPr="002A3568" w:rsidRDefault="00BD1650" w:rsidP="00515008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  <w:bookmarkEnd w:id="0"/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B2BE4"/>
    <w:rsid w:val="003F06F3"/>
    <w:rsid w:val="0042679D"/>
    <w:rsid w:val="00BD1650"/>
    <w:rsid w:val="00C52747"/>
    <w:rsid w:val="00E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1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52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karpos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3</cp:revision>
  <dcterms:created xsi:type="dcterms:W3CDTF">2024-07-11T18:31:00Z</dcterms:created>
  <dcterms:modified xsi:type="dcterms:W3CDTF">2024-08-22T11:32:00Z</dcterms:modified>
</cp:coreProperties>
</file>