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5D48DE" w:rsidRPr="005D48DE" w14:paraId="46B23BC3" w14:textId="77777777" w:rsidTr="005D48D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736932A4" w14:textId="77777777" w:rsidR="005D48DE" w:rsidRPr="005D48DE" w:rsidRDefault="005D48DE" w:rsidP="005D48D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</w:pPr>
            <w:bookmarkStart w:id="0" w:name="_Hlk183762005"/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Формулар за доставување коментари и предлози за Контролната листа на ПУЖССА за „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Рехабилитација и изградба на улица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„Пехчевска“ и улица „12“ во Маџари Хиодром 2</w:t>
            </w:r>
          </w:p>
          <w:p w14:paraId="25C8C4AD" w14:textId="77777777" w:rsidR="005D48DE" w:rsidRPr="005D48DE" w:rsidRDefault="005D48DE" w:rsidP="005D48D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kern w:val="0"/>
                <w:sz w:val="20"/>
                <w:szCs w:val="20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Општина Гази Баба</w:t>
            </w:r>
          </w:p>
          <w:p w14:paraId="222DE782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561724B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50E86D0D" w14:textId="77777777" w:rsidR="005D48DE" w:rsidRPr="005D48DE" w:rsidRDefault="005D48DE" w:rsidP="005D48DE">
            <w:pPr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Проектното подрачје каде што се лоцирани проектните активности за рехабилитација на улиците „Пехчевска“ и „12“ во Маџари Хиподром 2, на територијата на општина Гази Баба. Локалната улица „Пехчевска“ е со должина од 267.69 метри и не е асфалтирана. Улицата има проектирана ширина од 6,0 метри (2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3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метри) и тротоари од двете страни со широчина од 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2.25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метри. Локалната улица „12“ е со должина од 215.53 метри и не е асфалтирана. Улицата има проектирана ширина од 6,0 метри (2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3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 xml:space="preserve">метри) и тротоари од двете страни со широчина од 2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x 2.25 </w:t>
            </w:r>
            <w:r w:rsidRPr="005D48DE">
              <w:rPr>
                <w:rFonts w:ascii="Calibri" w:eastAsia="Calibri" w:hAnsi="Calibri" w:cs="Times New Roman"/>
                <w:kern w:val="0"/>
                <w:sz w:val="20"/>
                <w:szCs w:val="20"/>
                <w:lang w:val="mk-MK"/>
                <w14:ligatures w14:val="none"/>
              </w:rPr>
              <w:t>метри</w:t>
            </w:r>
          </w:p>
          <w:p w14:paraId="7FAC6D20" w14:textId="77777777" w:rsidR="005D48DE" w:rsidRPr="005D48DE" w:rsidRDefault="005D48DE" w:rsidP="005D48DE">
            <w:pPr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Електронската верзија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Рехабилитација и изградба на постоечки улици, улицата  „Пехчевска“ и улицата „12“ во Општина Гази Баба е достапна на следниве веб-страни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14E369ED" w14:textId="77777777" w:rsidR="005D48DE" w:rsidRPr="005D48DE" w:rsidRDefault="005D48DE" w:rsidP="005D48D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Општина Гази Баба </w:t>
            </w:r>
            <w:hyperlink r:id="rId5" w:history="1">
              <w:r w:rsidRPr="005D48DE">
                <w:rPr>
                  <w:rFonts w:ascii="Calibri" w:eastAsia="Calibri" w:hAnsi="Calibri" w:cs="Times New Roman"/>
                  <w:color w:val="0563C1"/>
                  <w:kern w:val="0"/>
                  <w:sz w:val="20"/>
                  <w:szCs w:val="20"/>
                  <w:u w:val="single"/>
                  <w14:ligatures w14:val="none"/>
                </w:rPr>
                <w:t>https://www.gazibaba.gov.mk</w:t>
              </w:r>
            </w:hyperlink>
          </w:p>
          <w:p w14:paraId="736361F7" w14:textId="77777777" w:rsidR="005D48DE" w:rsidRPr="005D48DE" w:rsidRDefault="005D48DE" w:rsidP="005D48DE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Единица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имплементација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на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проект</w:t>
            </w:r>
            <w:proofErr w:type="spellEnd"/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  <w:hyperlink r:id="rId6" w:history="1">
              <w:r w:rsidRPr="005D48DE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https://wbprojects-mtc.mk</w:t>
              </w:r>
            </w:hyperlink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 xml:space="preserve">  </w:t>
            </w:r>
          </w:p>
        </w:tc>
      </w:tr>
      <w:tr w:rsidR="005D48DE" w:rsidRPr="005D48DE" w14:paraId="4A9A0EC3" w14:textId="77777777" w:rsidTr="00A4250C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3EAB8B92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561630D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2C5B6E0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D48DE" w:rsidRPr="005D48DE" w14:paraId="62AAE495" w14:textId="77777777" w:rsidTr="00A4250C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13353C7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7C5D4ABD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20926A1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541BAC9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44B9800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B71CF49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  <w:p w14:paraId="7829DA37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8A560B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7B7D6775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4F6FF4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</w:tc>
      </w:tr>
      <w:tr w:rsidR="005D48DE" w:rsidRPr="005D48DE" w14:paraId="09E47F5C" w14:textId="77777777" w:rsidTr="00A4250C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1101A05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5D48DE"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71C30F40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32CF77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F1F96A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5D48DE" w:rsidRPr="005D48DE" w14:paraId="37CE06A2" w14:textId="77777777" w:rsidTr="00A4250C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DF6A059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19724B74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50C561CE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F45EC4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78876FA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7ED4765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</w:t>
            </w:r>
          </w:p>
        </w:tc>
      </w:tr>
      <w:tr w:rsidR="005D48DE" w:rsidRPr="005D48DE" w14:paraId="26843EEC" w14:textId="77777777" w:rsidTr="00A4250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75E152E2" w14:textId="77777777" w:rsidR="005D48DE" w:rsidRPr="005D48DE" w:rsidRDefault="005D48DE" w:rsidP="005D48DE">
            <w:pPr>
              <w:shd w:val="clear" w:color="auto" w:fill="E2EFD9"/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Ако имате какви било коментари / предлози или дополнувања за предложените мерки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Реконструкција и изградба на улица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„Пехчевска“ и улица „12“ во Општина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Гази Баба</w:t>
            </w:r>
          </w:p>
          <w:p w14:paraId="6035A6BB" w14:textId="77777777" w:rsidR="005D48DE" w:rsidRPr="005D48DE" w:rsidRDefault="005D48DE" w:rsidP="005D48DE">
            <w:pPr>
              <w:shd w:val="clear" w:color="auto" w:fill="E2EFD9"/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ве молиме доставете ги на одговорното лице од следната институција:</w:t>
            </w:r>
          </w:p>
          <w:p w14:paraId="054A2CE1" w14:textId="77777777" w:rsidR="005D48DE" w:rsidRPr="005D48DE" w:rsidRDefault="005D48DE" w:rsidP="005D48DE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лице: Сашка Богданова Ајцева</w:t>
            </w:r>
          </w:p>
          <w:p w14:paraId="09A85828" w14:textId="77777777" w:rsidR="005D48DE" w:rsidRPr="005D48DE" w:rsidRDefault="005D48DE" w:rsidP="005D48DE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:           </w:t>
            </w:r>
            <w:hyperlink r:id="rId7" w:history="1"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saska.bogdanova.ajceva@piu</w:t>
              </w:r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.</w:t>
              </w:r>
              <w:r w:rsidRPr="005D48D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mtc.gov.mk</w:t>
              </w:r>
            </w:hyperlink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</w:t>
            </w:r>
          </w:p>
          <w:p w14:paraId="1A4AB4A6" w14:textId="77777777" w:rsidR="005D48DE" w:rsidRPr="005D48DE" w:rsidRDefault="005D48DE" w:rsidP="005D48DE">
            <w:pPr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рок од 14 дена по објавувањето на Контролната листа на ПУЖССА за „</w:t>
            </w:r>
            <w:r w:rsidRPr="005D48DE">
              <w:rPr>
                <w:rFonts w:ascii="Calibri" w:eastAsia="Calibri" w:hAnsi="Calibri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>Рехабилитација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и изградба на улица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D48DE">
              <w:rPr>
                <w:rFonts w:ascii="Calibri" w:eastAsia="Calibri" w:hAnsi="Calibri" w:cs="Calibri Light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  <w:t xml:space="preserve">„Пехчевска“ и улица „12“ во Маџари Хиподром 2, 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во Општина Гази Баба</w:t>
            </w:r>
          </w:p>
          <w:p w14:paraId="3F010E09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…….)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</w:p>
        </w:tc>
      </w:tr>
      <w:tr w:rsidR="005D48DE" w:rsidRPr="005D48DE" w14:paraId="17CBD860" w14:textId="77777777" w:rsidTr="00A4250C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A6E9A6F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0275EBA" w14:textId="77777777" w:rsidR="005D48DE" w:rsidRPr="005D48DE" w:rsidRDefault="005D48DE" w:rsidP="005D48D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Референтен број</w:t>
            </w:r>
            <w:r w:rsidRPr="005D48D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______________________________</w:t>
            </w:r>
          </w:p>
          <w:p w14:paraId="4169ED92" w14:textId="77777777" w:rsidR="005D48DE" w:rsidRPr="005D48DE" w:rsidRDefault="005D48DE" w:rsidP="005D48DE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5D48D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пополнето од страна одговорните лица за спроведување на проектот</w:t>
            </w:r>
            <w:r w:rsidRPr="005D48D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</w:tr>
      <w:bookmarkEnd w:id="0"/>
    </w:tbl>
    <w:p w14:paraId="530A0A00" w14:textId="77777777" w:rsidR="00BD1650" w:rsidRDefault="00BD1650">
      <w:pPr>
        <w:rPr>
          <w:sz w:val="16"/>
          <w:szCs w:val="16"/>
          <w:lang w:val="mk-MK"/>
        </w:rPr>
      </w:pPr>
    </w:p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13D5F614" w14:textId="432E90E5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D48DE"/>
    <w:rsid w:val="00651D62"/>
    <w:rsid w:val="007D30D3"/>
    <w:rsid w:val="0092261D"/>
    <w:rsid w:val="00BD1650"/>
    <w:rsid w:val="00C52747"/>
    <w:rsid w:val="00D82914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bprojects-mtc.mk" TargetMode="External"/><Relationship Id="rId5" Type="http://schemas.openxmlformats.org/officeDocument/2006/relationships/hyperlink" Target="https://www.gazibaba.gov.m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8</cp:revision>
  <dcterms:created xsi:type="dcterms:W3CDTF">2024-07-11T18:31:00Z</dcterms:created>
  <dcterms:modified xsi:type="dcterms:W3CDTF">2025-01-20T10:53:00Z</dcterms:modified>
</cp:coreProperties>
</file>