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0A00" w14:textId="77777777" w:rsidR="00BD1650" w:rsidRDefault="00BD1650">
      <w:pPr>
        <w:rPr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5621B6" w:rsidRPr="008B567E" w14:paraId="5559E11B" w14:textId="77777777" w:rsidTr="00224FF0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3DEF6696" w14:textId="6537F4F1" w:rsidR="005621B6" w:rsidRDefault="005621B6" w:rsidP="00224FF0">
            <w:pPr>
              <w:pStyle w:val="Header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0" w:name="_Hlk154739586"/>
            <w:proofErr w:type="spellStart"/>
            <w:r w:rsidRPr="008B567E">
              <w:rPr>
                <w:rFonts w:cs="Calibri"/>
                <w:b/>
                <w:sz w:val="20"/>
                <w:szCs w:val="20"/>
              </w:rPr>
              <w:t>Формулар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rFonts w:cs="Calibri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rFonts w:cs="Calibri"/>
                <w:b/>
                <w:sz w:val="20"/>
                <w:szCs w:val="20"/>
              </w:rPr>
              <w:t>доставување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rFonts w:cs="Calibri"/>
                <w:b/>
                <w:sz w:val="20"/>
                <w:szCs w:val="20"/>
              </w:rPr>
              <w:t>коментари</w:t>
            </w:r>
            <w:proofErr w:type="spellEnd"/>
            <w:r w:rsidRPr="008B567E">
              <w:rPr>
                <w:rFonts w:cs="Calibri"/>
                <w:b/>
                <w:sz w:val="20"/>
                <w:szCs w:val="20"/>
              </w:rPr>
              <w:t xml:space="preserve"> и </w:t>
            </w:r>
            <w:proofErr w:type="spellStart"/>
            <w:r w:rsidRPr="008B567E">
              <w:rPr>
                <w:rFonts w:cs="Calibri"/>
                <w:b/>
                <w:sz w:val="20"/>
                <w:szCs w:val="20"/>
              </w:rPr>
              <w:t>предлози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rFonts w:cs="Calibri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rFonts w:cs="Calibri"/>
                <w:b/>
                <w:sz w:val="20"/>
                <w:szCs w:val="20"/>
              </w:rPr>
              <w:t>Контролната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rFonts w:cs="Calibri"/>
                <w:b/>
                <w:sz w:val="20"/>
                <w:szCs w:val="20"/>
              </w:rPr>
              <w:t>листа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rFonts w:cs="Calibri"/>
                <w:b/>
                <w:sz w:val="20"/>
                <w:szCs w:val="20"/>
              </w:rPr>
              <w:t>на</w:t>
            </w:r>
            <w:proofErr w:type="spellEnd"/>
            <w:r w:rsidRPr="008B567E">
              <w:rPr>
                <w:rFonts w:cs="Calibri"/>
                <w:b/>
                <w:sz w:val="20"/>
                <w:szCs w:val="20"/>
              </w:rPr>
              <w:t xml:space="preserve"> ПУЖССА </w:t>
            </w:r>
            <w:proofErr w:type="spellStart"/>
            <w:r w:rsidRPr="008B567E">
              <w:rPr>
                <w:rFonts w:cs="Calibri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rFonts w:cs="Calibri"/>
                <w:b/>
                <w:sz w:val="20"/>
                <w:szCs w:val="20"/>
              </w:rPr>
              <w:t>проектот</w:t>
            </w:r>
            <w:bookmarkStart w:id="1" w:name="_Hlk154739693"/>
            <w:proofErr w:type="spellEnd"/>
          </w:p>
          <w:p w14:paraId="1350804F" w14:textId="0A5A1BF6" w:rsidR="005621B6" w:rsidRPr="008B567E" w:rsidRDefault="005621B6" w:rsidP="00224FF0">
            <w:pPr>
              <w:pStyle w:val="Header"/>
              <w:jc w:val="center"/>
              <w:rPr>
                <w:rFonts w:cs="Calibri"/>
                <w:i/>
                <w:iCs/>
                <w:sz w:val="20"/>
                <w:szCs w:val="20"/>
                <w:lang w:val="mk-MK"/>
              </w:rPr>
            </w:pPr>
            <w:r w:rsidRPr="008B567E">
              <w:rPr>
                <w:rFonts w:cs="Calibri"/>
                <w:i/>
                <w:iCs/>
                <w:sz w:val="20"/>
                <w:szCs w:val="20"/>
                <w:lang w:val="mk-MK"/>
              </w:rPr>
              <w:t>Реконструкција улици во село Криволак во должина од 250 метри, општина Неготино</w:t>
            </w:r>
            <w:bookmarkEnd w:id="1"/>
          </w:p>
          <w:p w14:paraId="12571AF6" w14:textId="77777777" w:rsidR="005621B6" w:rsidRPr="008B567E" w:rsidRDefault="005621B6" w:rsidP="00224FF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32B2150D" w14:textId="77777777" w:rsidR="005621B6" w:rsidRPr="008B567E" w:rsidRDefault="005621B6" w:rsidP="00224FF0">
            <w:pPr>
              <w:rPr>
                <w:b/>
                <w:sz w:val="20"/>
                <w:szCs w:val="20"/>
              </w:rPr>
            </w:pPr>
            <w:proofErr w:type="spellStart"/>
            <w:r w:rsidRPr="008B567E">
              <w:rPr>
                <w:b/>
                <w:sz w:val="20"/>
                <w:szCs w:val="20"/>
              </w:rPr>
              <w:t>Опис</w:t>
            </w:r>
            <w:proofErr w:type="spellEnd"/>
            <w:r w:rsidRPr="008B56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/>
                <w:sz w:val="20"/>
                <w:szCs w:val="20"/>
              </w:rPr>
              <w:t>на</w:t>
            </w:r>
            <w:proofErr w:type="spellEnd"/>
            <w:r w:rsidRPr="008B56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/>
                <w:sz w:val="20"/>
                <w:szCs w:val="20"/>
              </w:rPr>
              <w:t>проектот</w:t>
            </w:r>
            <w:proofErr w:type="spellEnd"/>
          </w:p>
          <w:p w14:paraId="74DE6AB6" w14:textId="77777777" w:rsidR="005621B6" w:rsidRPr="008B567E" w:rsidRDefault="005621B6" w:rsidP="00224FF0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B567E">
              <w:rPr>
                <w:b/>
                <w:sz w:val="18"/>
                <w:szCs w:val="18"/>
              </w:rPr>
              <w:tab/>
            </w:r>
            <w:proofErr w:type="spellStart"/>
            <w:r w:rsidRPr="008B567E">
              <w:rPr>
                <w:sz w:val="20"/>
                <w:szCs w:val="20"/>
              </w:rPr>
              <w:t>Селото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Криволак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наоѓа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во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југоисточниот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дел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Република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Северна</w:t>
            </w:r>
            <w:proofErr w:type="spellEnd"/>
            <w:r w:rsidRPr="008B567E">
              <w:rPr>
                <w:sz w:val="20"/>
                <w:szCs w:val="20"/>
              </w:rPr>
              <w:t xml:space="preserve"> Македонија, </w:t>
            </w:r>
            <w:proofErr w:type="spellStart"/>
            <w:r w:rsidRPr="008B567E">
              <w:rPr>
                <w:sz w:val="20"/>
                <w:szCs w:val="20"/>
              </w:rPr>
              <w:t>во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рамките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</w:t>
            </w:r>
            <w:proofErr w:type="spellEnd"/>
            <w:r w:rsidRPr="008B567E">
              <w:rPr>
                <w:sz w:val="20"/>
                <w:szCs w:val="20"/>
              </w:rPr>
              <w:t xml:space="preserve"> Општина Неготино, </w:t>
            </w:r>
            <w:proofErr w:type="spellStart"/>
            <w:r w:rsidRPr="008B567E">
              <w:rPr>
                <w:sz w:val="20"/>
                <w:szCs w:val="20"/>
              </w:rPr>
              <w:t>Вардарски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плански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регион</w:t>
            </w:r>
            <w:proofErr w:type="spellEnd"/>
            <w:r w:rsidRPr="008B567E">
              <w:rPr>
                <w:sz w:val="20"/>
                <w:szCs w:val="20"/>
              </w:rPr>
              <w:t xml:space="preserve">. </w:t>
            </w:r>
            <w:proofErr w:type="spellStart"/>
            <w:r w:rsidRPr="008B567E">
              <w:rPr>
                <w:sz w:val="20"/>
                <w:szCs w:val="20"/>
              </w:rPr>
              <w:t>Лоцирано</w:t>
            </w:r>
            <w:proofErr w:type="spellEnd"/>
            <w:r w:rsidRPr="008B567E">
              <w:rPr>
                <w:sz w:val="20"/>
                <w:szCs w:val="20"/>
              </w:rPr>
              <w:t xml:space="preserve"> е </w:t>
            </w:r>
            <w:proofErr w:type="spellStart"/>
            <w:r w:rsidRPr="008B567E">
              <w:rPr>
                <w:sz w:val="20"/>
                <w:szCs w:val="20"/>
              </w:rPr>
              <w:t>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левата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страна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од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реката</w:t>
            </w:r>
            <w:proofErr w:type="spellEnd"/>
            <w:r w:rsidRPr="008B567E">
              <w:rPr>
                <w:sz w:val="20"/>
                <w:szCs w:val="20"/>
              </w:rPr>
              <w:t xml:space="preserve"> Вардар, </w:t>
            </w:r>
            <w:proofErr w:type="spellStart"/>
            <w:r w:rsidRPr="008B567E">
              <w:rPr>
                <w:sz w:val="20"/>
                <w:szCs w:val="20"/>
              </w:rPr>
              <w:t>во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непосредна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близина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железничката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пруга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Скопје</w:t>
            </w:r>
            <w:proofErr w:type="spellEnd"/>
            <w:r w:rsidRPr="008B567E">
              <w:rPr>
                <w:sz w:val="20"/>
                <w:szCs w:val="20"/>
              </w:rPr>
              <w:t xml:space="preserve"> – </w:t>
            </w:r>
            <w:proofErr w:type="spellStart"/>
            <w:r w:rsidRPr="008B567E">
              <w:rPr>
                <w:sz w:val="20"/>
                <w:szCs w:val="20"/>
              </w:rPr>
              <w:t>Гевгелија</w:t>
            </w:r>
            <w:proofErr w:type="spellEnd"/>
            <w:r w:rsidRPr="008B567E">
              <w:rPr>
                <w:sz w:val="20"/>
                <w:szCs w:val="20"/>
              </w:rPr>
              <w:t xml:space="preserve"> и </w:t>
            </w:r>
            <w:proofErr w:type="spellStart"/>
            <w:r w:rsidRPr="008B567E">
              <w:rPr>
                <w:sz w:val="20"/>
                <w:szCs w:val="20"/>
              </w:rPr>
              <w:t>регионалниот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пат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кој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води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кон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Демир</w:t>
            </w:r>
            <w:proofErr w:type="spellEnd"/>
            <w:r w:rsidRPr="008B567E">
              <w:rPr>
                <w:sz w:val="20"/>
                <w:szCs w:val="20"/>
              </w:rPr>
              <w:t xml:space="preserve"> Капија. </w:t>
            </w:r>
            <w:proofErr w:type="spellStart"/>
            <w:r w:rsidRPr="008B567E">
              <w:rPr>
                <w:sz w:val="20"/>
                <w:szCs w:val="20"/>
              </w:rPr>
              <w:t>Поради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својата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географска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положба</w:t>
            </w:r>
            <w:proofErr w:type="spellEnd"/>
            <w:r w:rsidRPr="008B567E">
              <w:rPr>
                <w:sz w:val="20"/>
                <w:szCs w:val="20"/>
              </w:rPr>
              <w:t xml:space="preserve">, </w:t>
            </w:r>
            <w:proofErr w:type="spellStart"/>
            <w:r w:rsidRPr="008B567E">
              <w:rPr>
                <w:sz w:val="20"/>
                <w:szCs w:val="20"/>
              </w:rPr>
              <w:t>Криволак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претставува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значајна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точка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во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сообраќајната</w:t>
            </w:r>
            <w:proofErr w:type="spellEnd"/>
            <w:r w:rsidRPr="008B567E">
              <w:rPr>
                <w:sz w:val="20"/>
                <w:szCs w:val="20"/>
              </w:rPr>
              <w:t xml:space="preserve"> и </w:t>
            </w:r>
            <w:proofErr w:type="spellStart"/>
            <w:r w:rsidRPr="008B567E">
              <w:rPr>
                <w:sz w:val="20"/>
                <w:szCs w:val="20"/>
              </w:rPr>
              <w:t>инфраструктурната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мрежа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општината</w:t>
            </w:r>
            <w:proofErr w:type="spellEnd"/>
            <w:r w:rsidRPr="008B567E">
              <w:rPr>
                <w:sz w:val="20"/>
                <w:szCs w:val="20"/>
              </w:rPr>
              <w:t>.</w:t>
            </w:r>
          </w:p>
          <w:p w14:paraId="13B0C3E7" w14:textId="77777777" w:rsidR="005621B6" w:rsidRPr="008B567E" w:rsidRDefault="005621B6" w:rsidP="00224FF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B567E">
              <w:rPr>
                <w:sz w:val="20"/>
                <w:szCs w:val="20"/>
              </w:rPr>
              <w:t>Населбата</w:t>
            </w:r>
            <w:proofErr w:type="spellEnd"/>
            <w:r w:rsidRPr="008B567E">
              <w:rPr>
                <w:sz w:val="20"/>
                <w:szCs w:val="20"/>
              </w:rPr>
              <w:t xml:space="preserve"> е </w:t>
            </w:r>
            <w:proofErr w:type="spellStart"/>
            <w:r w:rsidRPr="008B567E">
              <w:rPr>
                <w:sz w:val="20"/>
                <w:szCs w:val="20"/>
              </w:rPr>
              <w:t>од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ридско-рамничарски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тип</w:t>
            </w:r>
            <w:proofErr w:type="spellEnd"/>
            <w:r w:rsidRPr="008B567E">
              <w:rPr>
                <w:sz w:val="20"/>
                <w:szCs w:val="20"/>
              </w:rPr>
              <w:t xml:space="preserve"> и </w:t>
            </w:r>
            <w:proofErr w:type="spellStart"/>
            <w:r w:rsidRPr="008B567E">
              <w:rPr>
                <w:sz w:val="20"/>
                <w:szCs w:val="20"/>
              </w:rPr>
              <w:t>располага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обработливи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земјоделски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површини</w:t>
            </w:r>
            <w:proofErr w:type="spellEnd"/>
            <w:r w:rsidRPr="008B567E">
              <w:rPr>
                <w:sz w:val="20"/>
                <w:szCs w:val="20"/>
              </w:rPr>
              <w:t xml:space="preserve">, </w:t>
            </w:r>
            <w:proofErr w:type="spellStart"/>
            <w:r w:rsidRPr="008B567E">
              <w:rPr>
                <w:sz w:val="20"/>
                <w:szCs w:val="20"/>
              </w:rPr>
              <w:t>кои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основна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економска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потпора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за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локалното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население</w:t>
            </w:r>
            <w:proofErr w:type="spellEnd"/>
            <w:r w:rsidRPr="008B567E">
              <w:rPr>
                <w:sz w:val="20"/>
                <w:szCs w:val="20"/>
              </w:rPr>
              <w:t xml:space="preserve">. </w:t>
            </w:r>
            <w:proofErr w:type="spellStart"/>
            <w:r w:rsidRPr="008B567E">
              <w:rPr>
                <w:sz w:val="20"/>
                <w:szCs w:val="20"/>
              </w:rPr>
              <w:t>Најзастапени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гранки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земјоделството</w:t>
            </w:r>
            <w:proofErr w:type="spellEnd"/>
            <w:r w:rsidRPr="008B567E">
              <w:rPr>
                <w:sz w:val="20"/>
                <w:szCs w:val="20"/>
              </w:rPr>
              <w:t xml:space="preserve">, </w:t>
            </w:r>
            <w:proofErr w:type="spellStart"/>
            <w:r w:rsidRPr="008B567E">
              <w:rPr>
                <w:sz w:val="20"/>
                <w:szCs w:val="20"/>
              </w:rPr>
              <w:t>лозарството</w:t>
            </w:r>
            <w:proofErr w:type="spellEnd"/>
            <w:r w:rsidRPr="008B567E">
              <w:rPr>
                <w:sz w:val="20"/>
                <w:szCs w:val="20"/>
              </w:rPr>
              <w:t xml:space="preserve"> и </w:t>
            </w:r>
            <w:proofErr w:type="spellStart"/>
            <w:r w:rsidRPr="008B567E">
              <w:rPr>
                <w:sz w:val="20"/>
                <w:szCs w:val="20"/>
              </w:rPr>
              <w:t>градинарството</w:t>
            </w:r>
            <w:proofErr w:type="spellEnd"/>
            <w:r w:rsidRPr="008B567E">
              <w:rPr>
                <w:sz w:val="20"/>
                <w:szCs w:val="20"/>
              </w:rPr>
              <w:t xml:space="preserve">, </w:t>
            </w:r>
            <w:proofErr w:type="spellStart"/>
            <w:r w:rsidRPr="008B567E">
              <w:rPr>
                <w:sz w:val="20"/>
                <w:szCs w:val="20"/>
              </w:rPr>
              <w:t>кои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карактеристични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за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целиот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Тиквешки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регион</w:t>
            </w:r>
            <w:proofErr w:type="spellEnd"/>
            <w:r w:rsidRPr="008B567E">
              <w:rPr>
                <w:sz w:val="20"/>
                <w:szCs w:val="20"/>
              </w:rPr>
              <w:t>.</w:t>
            </w:r>
          </w:p>
          <w:p w14:paraId="7F582B16" w14:textId="77777777" w:rsidR="005621B6" w:rsidRPr="008B567E" w:rsidRDefault="005621B6" w:rsidP="00224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567E">
              <w:rPr>
                <w:sz w:val="20"/>
                <w:szCs w:val="20"/>
              </w:rPr>
              <w:tab/>
            </w:r>
            <w:proofErr w:type="spellStart"/>
            <w:r w:rsidRPr="008B567E">
              <w:rPr>
                <w:sz w:val="20"/>
                <w:szCs w:val="20"/>
              </w:rPr>
              <w:t>Во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близина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селото</w:t>
            </w:r>
            <w:proofErr w:type="spellEnd"/>
            <w:r w:rsidRPr="008B567E">
              <w:rPr>
                <w:sz w:val="20"/>
                <w:szCs w:val="20"/>
              </w:rPr>
              <w:t xml:space="preserve"> е </w:t>
            </w:r>
            <w:proofErr w:type="spellStart"/>
            <w:r w:rsidRPr="008B567E">
              <w:rPr>
                <w:sz w:val="20"/>
                <w:szCs w:val="20"/>
              </w:rPr>
              <w:t>сместен</w:t>
            </w:r>
            <w:proofErr w:type="spellEnd"/>
            <w:r w:rsidRPr="008B567E">
              <w:rPr>
                <w:sz w:val="20"/>
                <w:szCs w:val="20"/>
              </w:rPr>
              <w:t xml:space="preserve"> и </w:t>
            </w:r>
            <w:proofErr w:type="spellStart"/>
            <w:r w:rsidRPr="008B567E">
              <w:rPr>
                <w:sz w:val="20"/>
                <w:szCs w:val="20"/>
              </w:rPr>
              <w:t>воениот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полигон</w:t>
            </w:r>
            <w:proofErr w:type="spellEnd"/>
            <w:r w:rsidRPr="008B567E">
              <w:rPr>
                <w:sz w:val="20"/>
                <w:szCs w:val="20"/>
              </w:rPr>
              <w:t xml:space="preserve"> „</w:t>
            </w:r>
            <w:proofErr w:type="spellStart"/>
            <w:proofErr w:type="gramStart"/>
            <w:r w:rsidRPr="008B567E">
              <w:rPr>
                <w:sz w:val="20"/>
                <w:szCs w:val="20"/>
              </w:rPr>
              <w:t>Криволак</w:t>
            </w:r>
            <w:proofErr w:type="spellEnd"/>
            <w:r w:rsidRPr="008B567E">
              <w:rPr>
                <w:sz w:val="20"/>
                <w:szCs w:val="20"/>
              </w:rPr>
              <w:t>“</w:t>
            </w:r>
            <w:proofErr w:type="gramEnd"/>
            <w:r w:rsidRPr="008B567E">
              <w:rPr>
                <w:sz w:val="20"/>
                <w:szCs w:val="20"/>
              </w:rPr>
              <w:t xml:space="preserve">, </w:t>
            </w:r>
            <w:proofErr w:type="spellStart"/>
            <w:r w:rsidRPr="008B567E">
              <w:rPr>
                <w:sz w:val="20"/>
                <w:szCs w:val="20"/>
              </w:rPr>
              <w:t>кој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претставува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најголем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воен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полигон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во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државата</w:t>
            </w:r>
            <w:proofErr w:type="spellEnd"/>
            <w:r w:rsidRPr="008B567E">
              <w:rPr>
                <w:sz w:val="20"/>
                <w:szCs w:val="20"/>
              </w:rPr>
              <w:t xml:space="preserve"> и </w:t>
            </w:r>
            <w:proofErr w:type="spellStart"/>
            <w:r w:rsidRPr="008B567E">
              <w:rPr>
                <w:sz w:val="20"/>
                <w:szCs w:val="20"/>
              </w:rPr>
              <w:t>еден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од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најголемите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</w:t>
            </w:r>
            <w:proofErr w:type="spellEnd"/>
            <w:r w:rsidRPr="008B567E">
              <w:rPr>
                <w:sz w:val="20"/>
                <w:szCs w:val="20"/>
              </w:rPr>
              <w:t xml:space="preserve"> Балканот. </w:t>
            </w:r>
            <w:proofErr w:type="spellStart"/>
            <w:r w:rsidRPr="008B567E">
              <w:rPr>
                <w:sz w:val="20"/>
                <w:szCs w:val="20"/>
              </w:rPr>
              <w:t>Полигонoт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има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стратешко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значење</w:t>
            </w:r>
            <w:proofErr w:type="spellEnd"/>
            <w:r w:rsidRPr="008B567E">
              <w:rPr>
                <w:sz w:val="20"/>
                <w:szCs w:val="20"/>
              </w:rPr>
              <w:t xml:space="preserve">, </w:t>
            </w:r>
            <w:proofErr w:type="spellStart"/>
            <w:r w:rsidRPr="008B567E">
              <w:rPr>
                <w:sz w:val="20"/>
                <w:szCs w:val="20"/>
              </w:rPr>
              <w:t>не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само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за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потребите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Армијата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Република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Северна</w:t>
            </w:r>
            <w:proofErr w:type="spellEnd"/>
            <w:r w:rsidRPr="008B567E">
              <w:rPr>
                <w:sz w:val="20"/>
                <w:szCs w:val="20"/>
              </w:rPr>
              <w:t xml:space="preserve"> Македонија, </w:t>
            </w:r>
            <w:proofErr w:type="spellStart"/>
            <w:r w:rsidRPr="008B567E">
              <w:rPr>
                <w:sz w:val="20"/>
                <w:szCs w:val="20"/>
              </w:rPr>
              <w:t>туку</w:t>
            </w:r>
            <w:proofErr w:type="spellEnd"/>
            <w:r w:rsidRPr="008B567E">
              <w:rPr>
                <w:sz w:val="20"/>
                <w:szCs w:val="20"/>
              </w:rPr>
              <w:t xml:space="preserve"> и </w:t>
            </w:r>
            <w:proofErr w:type="spellStart"/>
            <w:r w:rsidRPr="008B567E">
              <w:rPr>
                <w:sz w:val="20"/>
                <w:szCs w:val="20"/>
              </w:rPr>
              <w:t>за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одржување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заеднички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меѓународни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воени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вежби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сојузничките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армии</w:t>
            </w:r>
            <w:proofErr w:type="spellEnd"/>
            <w:r w:rsidRPr="008B567E">
              <w:rPr>
                <w:sz w:val="20"/>
                <w:szCs w:val="20"/>
              </w:rPr>
              <w:t xml:space="preserve">. </w:t>
            </w:r>
            <w:proofErr w:type="spellStart"/>
            <w:r w:rsidRPr="008B567E">
              <w:rPr>
                <w:sz w:val="20"/>
                <w:szCs w:val="20"/>
              </w:rPr>
              <w:t>Криволак</w:t>
            </w:r>
            <w:proofErr w:type="spellEnd"/>
            <w:r w:rsidRPr="008B567E">
              <w:rPr>
                <w:sz w:val="20"/>
                <w:szCs w:val="20"/>
              </w:rPr>
              <w:t xml:space="preserve"> е </w:t>
            </w:r>
            <w:proofErr w:type="spellStart"/>
            <w:r w:rsidRPr="008B567E">
              <w:rPr>
                <w:sz w:val="20"/>
                <w:szCs w:val="20"/>
              </w:rPr>
              <w:t>населба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значајна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историја</w:t>
            </w:r>
            <w:proofErr w:type="spellEnd"/>
            <w:r w:rsidRPr="008B567E">
              <w:rPr>
                <w:sz w:val="20"/>
                <w:szCs w:val="20"/>
              </w:rPr>
              <w:t xml:space="preserve"> и </w:t>
            </w:r>
            <w:proofErr w:type="spellStart"/>
            <w:r w:rsidRPr="008B567E">
              <w:rPr>
                <w:sz w:val="20"/>
                <w:szCs w:val="20"/>
              </w:rPr>
              <w:t>традиција</w:t>
            </w:r>
            <w:proofErr w:type="spellEnd"/>
            <w:r w:rsidRPr="008B567E">
              <w:rPr>
                <w:sz w:val="20"/>
                <w:szCs w:val="20"/>
              </w:rPr>
              <w:t xml:space="preserve">, </w:t>
            </w:r>
            <w:proofErr w:type="spellStart"/>
            <w:r w:rsidRPr="008B567E">
              <w:rPr>
                <w:sz w:val="20"/>
                <w:szCs w:val="20"/>
              </w:rPr>
              <w:t>каде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што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преплетуваат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старите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рурални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карактеристики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современите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инфраструктурни</w:t>
            </w:r>
            <w:proofErr w:type="spellEnd"/>
            <w:r w:rsidRPr="008B567E">
              <w:rPr>
                <w:sz w:val="20"/>
                <w:szCs w:val="20"/>
              </w:rPr>
              <w:t xml:space="preserve"> и </w:t>
            </w:r>
            <w:proofErr w:type="spellStart"/>
            <w:r w:rsidRPr="008B567E">
              <w:rPr>
                <w:sz w:val="20"/>
                <w:szCs w:val="20"/>
              </w:rPr>
              <w:t>економски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предизвици</w:t>
            </w:r>
            <w:proofErr w:type="spellEnd"/>
            <w:r w:rsidRPr="008B567E">
              <w:rPr>
                <w:sz w:val="20"/>
                <w:szCs w:val="20"/>
              </w:rPr>
              <w:t>.</w:t>
            </w:r>
          </w:p>
          <w:p w14:paraId="7479F7B4" w14:textId="77777777" w:rsidR="005621B6" w:rsidRPr="008B567E" w:rsidRDefault="005621B6" w:rsidP="00224FF0">
            <w:pPr>
              <w:spacing w:line="276" w:lineRule="auto"/>
              <w:jc w:val="both"/>
              <w:rPr>
                <w:sz w:val="20"/>
              </w:rPr>
            </w:pPr>
            <w:r w:rsidRPr="008B567E">
              <w:rPr>
                <w:sz w:val="20"/>
                <w:szCs w:val="20"/>
              </w:rPr>
              <w:tab/>
            </w:r>
            <w:proofErr w:type="spellStart"/>
            <w:r w:rsidRPr="008B567E">
              <w:rPr>
                <w:sz w:val="20"/>
              </w:rPr>
              <w:t>Соочувајќи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неопходната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потреба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за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подобрување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условите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движењекако</w:t>
            </w:r>
            <w:proofErr w:type="spellEnd"/>
            <w:r w:rsidRPr="008B567E">
              <w:rPr>
                <w:sz w:val="20"/>
              </w:rPr>
              <w:t xml:space="preserve"> и </w:t>
            </w:r>
            <w:proofErr w:type="spellStart"/>
            <w:r w:rsidRPr="008B567E">
              <w:rPr>
                <w:sz w:val="20"/>
              </w:rPr>
              <w:t>самата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безбедност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учесниците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сообраќај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при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користење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налокалните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улици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во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селото</w:t>
            </w:r>
            <w:proofErr w:type="spellEnd"/>
            <w:r w:rsidRPr="008B567E">
              <w:rPr>
                <w:sz w:val="20"/>
              </w:rPr>
              <w:t xml:space="preserve">, </w:t>
            </w:r>
            <w:proofErr w:type="spellStart"/>
            <w:r w:rsidRPr="008B567E">
              <w:rPr>
                <w:sz w:val="20"/>
              </w:rPr>
              <w:t>се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наложи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потребата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за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реконструкцијана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улица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во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село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Криволак</w:t>
            </w:r>
            <w:proofErr w:type="spellEnd"/>
            <w:r w:rsidRPr="008B567E">
              <w:rPr>
                <w:sz w:val="20"/>
              </w:rPr>
              <w:t xml:space="preserve"> (</w:t>
            </w:r>
            <w:proofErr w:type="spellStart"/>
            <w:r w:rsidRPr="008B567E">
              <w:rPr>
                <w:sz w:val="20"/>
              </w:rPr>
              <w:t>во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должина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од</w:t>
            </w:r>
            <w:proofErr w:type="spellEnd"/>
            <w:r w:rsidRPr="008B567E">
              <w:rPr>
                <w:sz w:val="20"/>
              </w:rPr>
              <w:t xml:space="preserve"> 250 </w:t>
            </w:r>
            <w:proofErr w:type="spellStart"/>
            <w:r w:rsidRPr="008B567E">
              <w:rPr>
                <w:sz w:val="20"/>
              </w:rPr>
              <w:t>метри</w:t>
            </w:r>
            <w:proofErr w:type="spellEnd"/>
            <w:r w:rsidRPr="008B567E">
              <w:rPr>
                <w:sz w:val="20"/>
              </w:rPr>
              <w:t xml:space="preserve">), </w:t>
            </w:r>
            <w:proofErr w:type="spellStart"/>
            <w:r w:rsidRPr="008B567E">
              <w:rPr>
                <w:sz w:val="20"/>
              </w:rPr>
              <w:t>општина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Неготино</w:t>
            </w:r>
            <w:proofErr w:type="spellEnd"/>
            <w:r w:rsidRPr="008B567E">
              <w:rPr>
                <w:sz w:val="20"/>
              </w:rPr>
              <w:t xml:space="preserve">. Општина </w:t>
            </w:r>
            <w:proofErr w:type="spellStart"/>
            <w:r w:rsidRPr="008B567E">
              <w:rPr>
                <w:sz w:val="20"/>
              </w:rPr>
              <w:t>Неготино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обезбеди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проектна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документација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ниво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Основен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проект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за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реконструкција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улица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во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село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Криволак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во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должина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од</w:t>
            </w:r>
            <w:proofErr w:type="spellEnd"/>
            <w:r w:rsidRPr="008B567E">
              <w:rPr>
                <w:sz w:val="20"/>
              </w:rPr>
              <w:t xml:space="preserve"> 250 </w:t>
            </w:r>
            <w:proofErr w:type="spellStart"/>
            <w:r w:rsidRPr="008B567E">
              <w:rPr>
                <w:sz w:val="20"/>
              </w:rPr>
              <w:t>метри</w:t>
            </w:r>
            <w:proofErr w:type="spellEnd"/>
            <w:r w:rsidRPr="008B567E">
              <w:rPr>
                <w:sz w:val="20"/>
              </w:rPr>
              <w:t xml:space="preserve">, </w:t>
            </w:r>
            <w:proofErr w:type="spellStart"/>
            <w:r w:rsidRPr="008B567E">
              <w:rPr>
                <w:sz w:val="20"/>
              </w:rPr>
              <w:t>што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ги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опфаќа</w:t>
            </w:r>
            <w:proofErr w:type="spellEnd"/>
            <w:r w:rsidRPr="008B567E">
              <w:rPr>
                <w:sz w:val="20"/>
              </w:rPr>
              <w:t xml:space="preserve"> КП 2244/2, КО </w:t>
            </w:r>
            <w:proofErr w:type="spellStart"/>
            <w:r w:rsidRPr="008B567E">
              <w:rPr>
                <w:sz w:val="20"/>
              </w:rPr>
              <w:t>Криволак</w:t>
            </w:r>
            <w:proofErr w:type="spellEnd"/>
            <w:r w:rsidRPr="008B567E">
              <w:rPr>
                <w:sz w:val="20"/>
              </w:rPr>
              <w:t xml:space="preserve">. </w:t>
            </w:r>
          </w:p>
          <w:p w14:paraId="0620B964" w14:textId="77777777" w:rsidR="005621B6" w:rsidRPr="008B567E" w:rsidRDefault="005621B6" w:rsidP="00224FF0">
            <w:pPr>
              <w:spacing w:line="276" w:lineRule="auto"/>
              <w:jc w:val="both"/>
              <w:rPr>
                <w:sz w:val="20"/>
              </w:rPr>
            </w:pPr>
            <w:r w:rsidRPr="008B567E">
              <w:rPr>
                <w:sz w:val="20"/>
              </w:rPr>
              <w:tab/>
            </w:r>
            <w:proofErr w:type="spellStart"/>
            <w:r w:rsidRPr="008B567E">
              <w:rPr>
                <w:sz w:val="20"/>
              </w:rPr>
              <w:t>Овие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потреби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констатирани</w:t>
            </w:r>
            <w:proofErr w:type="spellEnd"/>
            <w:r w:rsidRPr="008B567E">
              <w:rPr>
                <w:sz w:val="20"/>
              </w:rPr>
              <w:t xml:space="preserve"> и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барање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месното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население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во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повеќе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наврати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од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ова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населено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место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при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извршени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посети</w:t>
            </w:r>
            <w:proofErr w:type="spellEnd"/>
            <w:r w:rsidRPr="008B567E">
              <w:rPr>
                <w:sz w:val="20"/>
              </w:rPr>
              <w:t xml:space="preserve"> и </w:t>
            </w:r>
            <w:proofErr w:type="spellStart"/>
            <w:r w:rsidRPr="008B567E">
              <w:rPr>
                <w:sz w:val="20"/>
              </w:rPr>
              <w:t>средби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граѓани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при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креирање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годишните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програми</w:t>
            </w:r>
            <w:proofErr w:type="spellEnd"/>
            <w:r w:rsidRPr="008B567E">
              <w:rPr>
                <w:sz w:val="20"/>
              </w:rPr>
              <w:t xml:space="preserve"> и </w:t>
            </w:r>
            <w:proofErr w:type="spellStart"/>
            <w:r w:rsidRPr="008B567E">
              <w:rPr>
                <w:sz w:val="20"/>
              </w:rPr>
              <w:t>Буџетот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општина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Неготино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за</w:t>
            </w:r>
            <w:proofErr w:type="spellEnd"/>
            <w:r w:rsidRPr="008B567E">
              <w:rPr>
                <w:sz w:val="20"/>
              </w:rPr>
              <w:t xml:space="preserve"> 2025 </w:t>
            </w:r>
            <w:proofErr w:type="spellStart"/>
            <w:proofErr w:type="gramStart"/>
            <w:r w:rsidRPr="008B567E">
              <w:rPr>
                <w:sz w:val="20"/>
              </w:rPr>
              <w:t>година</w:t>
            </w:r>
            <w:proofErr w:type="spellEnd"/>
            <w:r w:rsidRPr="008B567E">
              <w:rPr>
                <w:sz w:val="20"/>
              </w:rPr>
              <w:t xml:space="preserve"> .</w:t>
            </w:r>
            <w:proofErr w:type="gramEnd"/>
          </w:p>
          <w:p w14:paraId="3074F4B1" w14:textId="77777777" w:rsidR="005621B6" w:rsidRPr="008B567E" w:rsidRDefault="005621B6" w:rsidP="00224FF0">
            <w:pPr>
              <w:spacing w:line="276" w:lineRule="auto"/>
              <w:jc w:val="both"/>
              <w:rPr>
                <w:sz w:val="20"/>
              </w:rPr>
            </w:pPr>
            <w:r w:rsidRPr="008B567E">
              <w:rPr>
                <w:sz w:val="20"/>
              </w:rPr>
              <w:tab/>
            </w:r>
            <w:proofErr w:type="spellStart"/>
            <w:r w:rsidRPr="008B567E">
              <w:rPr>
                <w:sz w:val="20"/>
              </w:rPr>
              <w:t>Улицата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која</w:t>
            </w:r>
            <w:proofErr w:type="spellEnd"/>
            <w:r w:rsidRPr="008B567E">
              <w:rPr>
                <w:sz w:val="20"/>
              </w:rPr>
              <w:t xml:space="preserve"> е </w:t>
            </w:r>
            <w:proofErr w:type="spellStart"/>
            <w:r w:rsidRPr="008B567E">
              <w:rPr>
                <w:sz w:val="20"/>
              </w:rPr>
              <w:t>предмет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овој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проект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служи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за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задоволување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потребите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локалното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население</w:t>
            </w:r>
            <w:proofErr w:type="spellEnd"/>
            <w:r w:rsidRPr="008B567E">
              <w:rPr>
                <w:sz w:val="20"/>
              </w:rPr>
              <w:t xml:space="preserve"> и </w:t>
            </w:r>
            <w:proofErr w:type="spellStart"/>
            <w:r w:rsidRPr="008B567E">
              <w:rPr>
                <w:sz w:val="20"/>
              </w:rPr>
              <w:t>поврзување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останатата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патна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proofErr w:type="gramStart"/>
            <w:r w:rsidRPr="008B567E">
              <w:rPr>
                <w:sz w:val="20"/>
              </w:rPr>
              <w:t>мрежа.Реализацијата</w:t>
            </w:r>
            <w:proofErr w:type="spellEnd"/>
            <w:proofErr w:type="gramEnd"/>
            <w:r w:rsidRPr="008B567E">
              <w:rPr>
                <w:sz w:val="20"/>
              </w:rPr>
              <w:t xml:space="preserve"> 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овој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проект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ќе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биде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во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функција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подобрување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условите</w:t>
            </w:r>
            <w:proofErr w:type="spellEnd"/>
            <w:r w:rsidRPr="008B567E">
              <w:rPr>
                <w:sz w:val="20"/>
              </w:rPr>
              <w:t xml:space="preserve"> и </w:t>
            </w:r>
            <w:proofErr w:type="spellStart"/>
            <w:proofErr w:type="gramStart"/>
            <w:r w:rsidRPr="008B567E">
              <w:rPr>
                <w:sz w:val="20"/>
              </w:rPr>
              <w:t>ќе</w:t>
            </w:r>
            <w:proofErr w:type="spellEnd"/>
            <w:r w:rsidRPr="008B567E">
              <w:rPr>
                <w:sz w:val="20"/>
              </w:rPr>
              <w:t xml:space="preserve">  </w:t>
            </w:r>
            <w:proofErr w:type="spellStart"/>
            <w:r w:rsidRPr="008B567E">
              <w:rPr>
                <w:sz w:val="20"/>
              </w:rPr>
              <w:t>предизвика</w:t>
            </w:r>
            <w:proofErr w:type="spellEnd"/>
            <w:proofErr w:type="gram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позитивни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импулси</w:t>
            </w:r>
            <w:proofErr w:type="spellEnd"/>
            <w:r w:rsidRPr="008B567E">
              <w:rPr>
                <w:sz w:val="20"/>
              </w:rPr>
              <w:t xml:space="preserve"> и </w:t>
            </w:r>
            <w:proofErr w:type="spellStart"/>
            <w:r w:rsidRPr="008B567E">
              <w:rPr>
                <w:sz w:val="20"/>
              </w:rPr>
              <w:t>ефекти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врз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целото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непосредно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опкружување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од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аспект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повисока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организација</w:t>
            </w:r>
            <w:proofErr w:type="spellEnd"/>
            <w:r w:rsidRPr="008B567E">
              <w:rPr>
                <w:sz w:val="20"/>
              </w:rPr>
              <w:t xml:space="preserve">, </w:t>
            </w:r>
            <w:proofErr w:type="spellStart"/>
            <w:r w:rsidRPr="008B567E">
              <w:rPr>
                <w:sz w:val="20"/>
              </w:rPr>
              <w:t>инфраструктурна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опременетост</w:t>
            </w:r>
            <w:proofErr w:type="spellEnd"/>
            <w:r w:rsidRPr="008B567E">
              <w:rPr>
                <w:sz w:val="20"/>
              </w:rPr>
              <w:t xml:space="preserve"> и </w:t>
            </w:r>
            <w:proofErr w:type="spellStart"/>
            <w:r w:rsidRPr="008B567E">
              <w:rPr>
                <w:sz w:val="20"/>
              </w:rPr>
              <w:t>уреденост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просторот</w:t>
            </w:r>
            <w:proofErr w:type="spellEnd"/>
            <w:r w:rsidRPr="008B567E">
              <w:rPr>
                <w:sz w:val="20"/>
              </w:rPr>
              <w:t>.</w:t>
            </w:r>
          </w:p>
          <w:p w14:paraId="11DBE918" w14:textId="77777777" w:rsidR="005621B6" w:rsidRPr="008B567E" w:rsidRDefault="005621B6" w:rsidP="00224FF0">
            <w:pPr>
              <w:spacing w:line="276" w:lineRule="auto"/>
              <w:jc w:val="both"/>
              <w:rPr>
                <w:szCs w:val="20"/>
              </w:rPr>
            </w:pPr>
            <w:r w:rsidRPr="008B567E">
              <w:tab/>
            </w:r>
            <w:proofErr w:type="spellStart"/>
            <w:r w:rsidRPr="008B567E">
              <w:rPr>
                <w:sz w:val="20"/>
              </w:rPr>
              <w:t>Улицата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започнува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профилот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број</w:t>
            </w:r>
            <w:proofErr w:type="spellEnd"/>
            <w:r w:rsidRPr="008B567E">
              <w:rPr>
                <w:sz w:val="20"/>
              </w:rPr>
              <w:t xml:space="preserve"> 1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стационажа</w:t>
            </w:r>
            <w:proofErr w:type="spellEnd"/>
            <w:r w:rsidRPr="008B567E">
              <w:rPr>
                <w:sz w:val="20"/>
              </w:rPr>
              <w:t xml:space="preserve"> 0+000,00 и </w:t>
            </w:r>
            <w:proofErr w:type="spellStart"/>
            <w:r w:rsidRPr="008B567E">
              <w:rPr>
                <w:sz w:val="20"/>
              </w:rPr>
              <w:t>завршува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профилот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број</w:t>
            </w:r>
            <w:proofErr w:type="spellEnd"/>
            <w:r w:rsidRPr="008B567E">
              <w:rPr>
                <w:sz w:val="20"/>
              </w:rPr>
              <w:t xml:space="preserve"> 27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стационажа</w:t>
            </w:r>
            <w:proofErr w:type="spellEnd"/>
            <w:r w:rsidRPr="008B567E">
              <w:rPr>
                <w:sz w:val="20"/>
              </w:rPr>
              <w:t xml:space="preserve"> 0+256,19. </w:t>
            </w:r>
            <w:proofErr w:type="spellStart"/>
            <w:r w:rsidRPr="008B567E">
              <w:rPr>
                <w:sz w:val="20"/>
              </w:rPr>
              <w:t>Постоечката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состојба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на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улицата</w:t>
            </w:r>
            <w:proofErr w:type="spellEnd"/>
            <w:r w:rsidRPr="008B567E">
              <w:rPr>
                <w:sz w:val="20"/>
              </w:rPr>
              <w:t xml:space="preserve"> е </w:t>
            </w:r>
            <w:proofErr w:type="spellStart"/>
            <w:r w:rsidRPr="008B567E">
              <w:rPr>
                <w:sz w:val="20"/>
              </w:rPr>
              <w:t>земјен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пат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со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големи</w:t>
            </w:r>
            <w:proofErr w:type="spellEnd"/>
            <w:r w:rsidRPr="008B567E">
              <w:rPr>
                <w:sz w:val="20"/>
              </w:rPr>
              <w:t xml:space="preserve"> </w:t>
            </w:r>
            <w:proofErr w:type="spellStart"/>
            <w:r w:rsidRPr="008B567E">
              <w:rPr>
                <w:sz w:val="20"/>
              </w:rPr>
              <w:t>оштетувања</w:t>
            </w:r>
            <w:proofErr w:type="spellEnd"/>
            <w:r w:rsidRPr="008B567E">
              <w:rPr>
                <w:sz w:val="20"/>
              </w:rPr>
              <w:t xml:space="preserve">. </w:t>
            </w:r>
            <w:proofErr w:type="spellStart"/>
            <w:r w:rsidRPr="008B567E">
              <w:rPr>
                <w:sz w:val="20"/>
                <w:szCs w:val="20"/>
              </w:rPr>
              <w:t>Од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двете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страни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улицата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се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наоѓаат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објекти</w:t>
            </w:r>
            <w:proofErr w:type="spellEnd"/>
            <w:r w:rsidRPr="008B567E">
              <w:rPr>
                <w:sz w:val="20"/>
                <w:szCs w:val="20"/>
              </w:rPr>
              <w:t xml:space="preserve">, </w:t>
            </w:r>
            <w:proofErr w:type="spellStart"/>
            <w:r w:rsidRPr="008B567E">
              <w:rPr>
                <w:sz w:val="20"/>
                <w:szCs w:val="20"/>
              </w:rPr>
              <w:t>огради</w:t>
            </w:r>
            <w:proofErr w:type="spellEnd"/>
            <w:r w:rsidRPr="008B567E">
              <w:rPr>
                <w:sz w:val="20"/>
                <w:szCs w:val="20"/>
              </w:rPr>
              <w:t xml:space="preserve"> и </w:t>
            </w:r>
            <w:proofErr w:type="spellStart"/>
            <w:r w:rsidRPr="008B567E">
              <w:rPr>
                <w:sz w:val="20"/>
                <w:szCs w:val="20"/>
              </w:rPr>
              <w:t>пристапи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до</w:t>
            </w:r>
            <w:proofErr w:type="spellEnd"/>
            <w:r w:rsidRPr="008B567E">
              <w:rPr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sz w:val="20"/>
                <w:szCs w:val="20"/>
              </w:rPr>
              <w:t>објектите</w:t>
            </w:r>
            <w:proofErr w:type="spellEnd"/>
            <w:r w:rsidRPr="008B567E">
              <w:rPr>
                <w:sz w:val="20"/>
                <w:szCs w:val="20"/>
              </w:rPr>
              <w:t>.</w:t>
            </w:r>
          </w:p>
          <w:p w14:paraId="3C89F970" w14:textId="77777777" w:rsidR="005621B6" w:rsidRPr="008B567E" w:rsidRDefault="005621B6" w:rsidP="00224FF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B567E">
              <w:rPr>
                <w:bCs/>
                <w:sz w:val="20"/>
                <w:szCs w:val="20"/>
              </w:rPr>
              <w:t>Електронската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верзија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на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Контролната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Листа </w:t>
            </w:r>
            <w:proofErr w:type="spellStart"/>
            <w:r w:rsidRPr="008B567E">
              <w:rPr>
                <w:bCs/>
                <w:sz w:val="20"/>
                <w:szCs w:val="20"/>
              </w:rPr>
              <w:t>за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ПУЖССА </w:t>
            </w:r>
            <w:proofErr w:type="spellStart"/>
            <w:r w:rsidRPr="008B567E">
              <w:rPr>
                <w:bCs/>
                <w:sz w:val="20"/>
                <w:szCs w:val="20"/>
              </w:rPr>
              <w:t>за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проектот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„</w:t>
            </w:r>
            <w:proofErr w:type="spellStart"/>
            <w:r w:rsidRPr="008B567E">
              <w:rPr>
                <w:bCs/>
                <w:sz w:val="20"/>
                <w:szCs w:val="20"/>
              </w:rPr>
              <w:t>Реконструкција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на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улици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во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село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Криволак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во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должина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од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250 </w:t>
            </w:r>
            <w:proofErr w:type="spellStart"/>
            <w:proofErr w:type="gramStart"/>
            <w:r w:rsidRPr="008B567E">
              <w:rPr>
                <w:bCs/>
                <w:sz w:val="20"/>
                <w:szCs w:val="20"/>
              </w:rPr>
              <w:t>метри“</w:t>
            </w:r>
            <w:proofErr w:type="gramEnd"/>
            <w:r w:rsidRPr="008B567E">
              <w:rPr>
                <w:bCs/>
                <w:sz w:val="20"/>
                <w:szCs w:val="20"/>
              </w:rPr>
              <w:t>Општина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Неготино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е </w:t>
            </w:r>
            <w:proofErr w:type="spellStart"/>
            <w:r w:rsidRPr="008B567E">
              <w:rPr>
                <w:bCs/>
                <w:sz w:val="20"/>
                <w:szCs w:val="20"/>
              </w:rPr>
              <w:t>достапна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на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следните</w:t>
            </w:r>
            <w:proofErr w:type="spellEnd"/>
            <w:r w:rsidRPr="008B56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7E">
              <w:rPr>
                <w:bCs/>
                <w:sz w:val="20"/>
                <w:szCs w:val="20"/>
              </w:rPr>
              <w:t>веб-страници</w:t>
            </w:r>
            <w:proofErr w:type="spellEnd"/>
            <w:r w:rsidRPr="008B567E">
              <w:rPr>
                <w:bCs/>
                <w:sz w:val="20"/>
                <w:szCs w:val="20"/>
              </w:rPr>
              <w:t>:</w:t>
            </w:r>
          </w:p>
          <w:p w14:paraId="14330E9D" w14:textId="77777777" w:rsidR="005621B6" w:rsidRPr="008B567E" w:rsidRDefault="005621B6" w:rsidP="005621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8B567E">
              <w:rPr>
                <w:rFonts w:cs="Calibri"/>
                <w:sz w:val="20"/>
                <w:szCs w:val="20"/>
                <w:lang w:val="mk-MK"/>
              </w:rPr>
              <w:t>Општина Неготино</w:t>
            </w:r>
            <w:r w:rsidRPr="008B567E">
              <w:rPr>
                <w:rStyle w:val="Hyperlink"/>
                <w:rFonts w:cs="Calibri"/>
                <w:sz w:val="20"/>
                <w:szCs w:val="20"/>
              </w:rPr>
              <w:t>(</w:t>
            </w:r>
            <w:hyperlink r:id="rId5" w:history="1">
              <w:r w:rsidRPr="008B567E">
                <w:rPr>
                  <w:rStyle w:val="Hyperlink"/>
                  <w:rFonts w:cs="Calibri"/>
                  <w:sz w:val="20"/>
                  <w:szCs w:val="20"/>
                </w:rPr>
                <w:t>https://negotino.gov.mk/</w:t>
              </w:r>
            </w:hyperlink>
            <w:r w:rsidRPr="008B567E">
              <w:rPr>
                <w:rStyle w:val="Hyperlink"/>
                <w:rFonts w:cs="Calibri"/>
                <w:sz w:val="20"/>
                <w:szCs w:val="20"/>
              </w:rPr>
              <w:t xml:space="preserve"> )</w:t>
            </w:r>
          </w:p>
          <w:p w14:paraId="05C4571C" w14:textId="77777777" w:rsidR="005621B6" w:rsidRPr="008B567E" w:rsidRDefault="005621B6" w:rsidP="005621B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mk-MK"/>
              </w:rPr>
              <w:t>МТ</w:t>
            </w:r>
            <w:r w:rsidRPr="008B567E">
              <w:rPr>
                <w:rFonts w:cs="Calibri"/>
                <w:sz w:val="20"/>
                <w:szCs w:val="20"/>
              </w:rPr>
              <w:t>/</w:t>
            </w:r>
            <w:r w:rsidRPr="008B567E">
              <w:rPr>
                <w:rFonts w:cs="Calibri"/>
                <w:sz w:val="20"/>
                <w:szCs w:val="20"/>
                <w:lang w:val="mk-MK"/>
              </w:rPr>
              <w:t>ЕИП</w:t>
            </w:r>
            <w:r w:rsidRPr="008B567E">
              <w:rPr>
                <w:rFonts w:cs="Calibri"/>
                <w:sz w:val="20"/>
                <w:szCs w:val="20"/>
              </w:rPr>
              <w:t xml:space="preserve">: </w:t>
            </w:r>
            <w:hyperlink r:id="rId6" w:history="1">
              <w:r w:rsidRPr="008B567E">
                <w:rPr>
                  <w:rStyle w:val="Hyperlink"/>
                  <w:rFonts w:cs="Calibri"/>
                  <w:sz w:val="20"/>
                  <w:szCs w:val="20"/>
                </w:rPr>
                <w:t>www.wbprojects-mtc.mk</w:t>
              </w:r>
            </w:hyperlink>
          </w:p>
          <w:p w14:paraId="584E77E1" w14:textId="77777777" w:rsidR="005621B6" w:rsidRPr="008B567E" w:rsidRDefault="005621B6" w:rsidP="00224FF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5621B6" w:rsidRPr="008B567E" w14:paraId="449D4280" w14:textId="77777777" w:rsidTr="00224FF0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741DB800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  <w:proofErr w:type="spellStart"/>
            <w:r w:rsidRPr="008B567E">
              <w:rPr>
                <w:b/>
                <w:sz w:val="18"/>
                <w:szCs w:val="18"/>
              </w:rPr>
              <w:lastRenderedPageBreak/>
              <w:t>Име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8B567E">
              <w:rPr>
                <w:b/>
                <w:sz w:val="18"/>
                <w:szCs w:val="18"/>
              </w:rPr>
              <w:t>презиме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лицето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кое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дава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коментар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*</w:t>
            </w:r>
          </w:p>
          <w:p w14:paraId="3328C71F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E6BB220" w14:textId="77777777" w:rsidR="005621B6" w:rsidRPr="008B567E" w:rsidRDefault="005621B6" w:rsidP="00224FF0">
            <w:pPr>
              <w:rPr>
                <w:sz w:val="18"/>
                <w:szCs w:val="18"/>
              </w:rPr>
            </w:pPr>
          </w:p>
        </w:tc>
      </w:tr>
      <w:tr w:rsidR="005621B6" w:rsidRPr="008B567E" w14:paraId="714FCD9C" w14:textId="77777777" w:rsidTr="00224FF0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600D1046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  <w:proofErr w:type="spellStart"/>
            <w:r w:rsidRPr="008B567E">
              <w:rPr>
                <w:b/>
                <w:sz w:val="18"/>
                <w:szCs w:val="18"/>
              </w:rPr>
              <w:t>Контакт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информации</w:t>
            </w:r>
            <w:proofErr w:type="spellEnd"/>
            <w:r w:rsidRPr="008B567E">
              <w:rPr>
                <w:b/>
                <w:sz w:val="18"/>
                <w:szCs w:val="18"/>
              </w:rPr>
              <w:t>*</w:t>
            </w:r>
          </w:p>
          <w:p w14:paraId="70363D38" w14:textId="77777777" w:rsidR="005621B6" w:rsidRPr="008B567E" w:rsidRDefault="005621B6" w:rsidP="00224FF0">
            <w:pPr>
              <w:rPr>
                <w:sz w:val="18"/>
                <w:szCs w:val="18"/>
              </w:rPr>
            </w:pPr>
          </w:p>
          <w:p w14:paraId="6BD78DD8" w14:textId="77777777" w:rsidR="005621B6" w:rsidRPr="008B567E" w:rsidRDefault="005621B6" w:rsidP="00224FF0">
            <w:pPr>
              <w:rPr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7698517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  <w:r w:rsidRPr="008B567E">
              <w:rPr>
                <w:b/>
                <w:sz w:val="18"/>
                <w:szCs w:val="18"/>
              </w:rPr>
              <w:t>Е-</w:t>
            </w:r>
            <w:proofErr w:type="spellStart"/>
            <w:r w:rsidRPr="008B567E">
              <w:rPr>
                <w:b/>
                <w:sz w:val="18"/>
                <w:szCs w:val="18"/>
              </w:rPr>
              <w:t>пошта</w:t>
            </w:r>
            <w:proofErr w:type="spellEnd"/>
            <w:r w:rsidRPr="008B567E">
              <w:rPr>
                <w:b/>
                <w:sz w:val="18"/>
                <w:szCs w:val="18"/>
              </w:rPr>
              <w:t>:</w:t>
            </w:r>
          </w:p>
          <w:p w14:paraId="3623934E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</w:p>
          <w:p w14:paraId="0DD6E9E9" w14:textId="77777777" w:rsidR="005621B6" w:rsidRPr="008B567E" w:rsidRDefault="005621B6" w:rsidP="00224FF0">
            <w:pPr>
              <w:rPr>
                <w:sz w:val="18"/>
                <w:szCs w:val="18"/>
              </w:rPr>
            </w:pPr>
            <w:r w:rsidRPr="008B567E">
              <w:rPr>
                <w:sz w:val="18"/>
                <w:szCs w:val="18"/>
              </w:rPr>
              <w:t>______________________________</w:t>
            </w:r>
          </w:p>
          <w:p w14:paraId="08D84991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</w:p>
          <w:p w14:paraId="6C8B02CF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  <w:proofErr w:type="spellStart"/>
            <w:r w:rsidRPr="008B567E">
              <w:rPr>
                <w:b/>
                <w:sz w:val="18"/>
                <w:szCs w:val="18"/>
              </w:rPr>
              <w:t>тел</w:t>
            </w:r>
            <w:proofErr w:type="spellEnd"/>
            <w:r w:rsidRPr="008B567E">
              <w:rPr>
                <w:b/>
                <w:sz w:val="18"/>
                <w:szCs w:val="18"/>
              </w:rPr>
              <w:t>:</w:t>
            </w:r>
          </w:p>
          <w:p w14:paraId="2BF7B5D0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</w:p>
          <w:p w14:paraId="5906B4B8" w14:textId="77777777" w:rsidR="005621B6" w:rsidRPr="008B567E" w:rsidRDefault="005621B6" w:rsidP="00224FF0">
            <w:pPr>
              <w:rPr>
                <w:sz w:val="18"/>
                <w:szCs w:val="18"/>
              </w:rPr>
            </w:pPr>
            <w:r w:rsidRPr="008B567E">
              <w:rPr>
                <w:sz w:val="18"/>
                <w:szCs w:val="18"/>
              </w:rPr>
              <w:t>______________________________</w:t>
            </w:r>
          </w:p>
        </w:tc>
      </w:tr>
      <w:tr w:rsidR="005621B6" w:rsidRPr="008B567E" w14:paraId="73580254" w14:textId="77777777" w:rsidTr="00224FF0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D8FC08D" w14:textId="77777777" w:rsidR="005621B6" w:rsidRPr="008B567E" w:rsidRDefault="005621B6" w:rsidP="00224FF0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8B567E">
              <w:rPr>
                <w:b/>
                <w:sz w:val="18"/>
                <w:szCs w:val="18"/>
              </w:rPr>
              <w:t>Коментари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во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врска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со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листа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ПУЖССА</w:t>
            </w:r>
            <w:r w:rsidRPr="008B567E">
              <w:rPr>
                <w:b/>
                <w:color w:val="000000"/>
                <w:sz w:val="18"/>
                <w:szCs w:val="18"/>
              </w:rPr>
              <w:t>:</w:t>
            </w:r>
          </w:p>
          <w:p w14:paraId="2EDAA3D6" w14:textId="77777777" w:rsidR="005621B6" w:rsidRPr="008B567E" w:rsidRDefault="005621B6" w:rsidP="00224FF0">
            <w:pPr>
              <w:rPr>
                <w:color w:val="000000"/>
                <w:sz w:val="18"/>
                <w:szCs w:val="18"/>
              </w:rPr>
            </w:pPr>
          </w:p>
          <w:p w14:paraId="14CC0E94" w14:textId="77777777" w:rsidR="005621B6" w:rsidRPr="008B567E" w:rsidRDefault="005621B6" w:rsidP="00224FF0">
            <w:pPr>
              <w:rPr>
                <w:color w:val="000000"/>
                <w:sz w:val="18"/>
                <w:szCs w:val="18"/>
              </w:rPr>
            </w:pPr>
          </w:p>
        </w:tc>
      </w:tr>
      <w:tr w:rsidR="005621B6" w:rsidRPr="008B567E" w14:paraId="785015FF" w14:textId="77777777" w:rsidTr="00224FF0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125E440F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  <w:proofErr w:type="spellStart"/>
            <w:r w:rsidRPr="008B567E">
              <w:rPr>
                <w:b/>
                <w:sz w:val="18"/>
                <w:szCs w:val="18"/>
              </w:rPr>
              <w:t>Потпис</w:t>
            </w:r>
            <w:proofErr w:type="spellEnd"/>
          </w:p>
          <w:p w14:paraId="4565AA86" w14:textId="77777777" w:rsidR="005621B6" w:rsidRPr="008B567E" w:rsidRDefault="005621B6" w:rsidP="00224FF0">
            <w:pPr>
              <w:rPr>
                <w:sz w:val="18"/>
                <w:szCs w:val="18"/>
              </w:rPr>
            </w:pPr>
          </w:p>
          <w:p w14:paraId="684B9D8F" w14:textId="77777777" w:rsidR="005621B6" w:rsidRPr="008B567E" w:rsidRDefault="005621B6" w:rsidP="00224FF0">
            <w:pPr>
              <w:rPr>
                <w:sz w:val="18"/>
                <w:szCs w:val="18"/>
              </w:rPr>
            </w:pPr>
            <w:r w:rsidRPr="008B567E">
              <w:rPr>
                <w:sz w:val="18"/>
                <w:szCs w:val="18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37E870B5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  <w:proofErr w:type="spellStart"/>
            <w:r w:rsidRPr="008B567E">
              <w:rPr>
                <w:b/>
                <w:sz w:val="18"/>
                <w:szCs w:val="18"/>
              </w:rPr>
              <w:t>Дата</w:t>
            </w:r>
            <w:proofErr w:type="spellEnd"/>
          </w:p>
          <w:p w14:paraId="6B38AFF6" w14:textId="77777777" w:rsidR="005621B6" w:rsidRPr="008B567E" w:rsidRDefault="005621B6" w:rsidP="00224FF0">
            <w:pPr>
              <w:rPr>
                <w:sz w:val="18"/>
                <w:szCs w:val="18"/>
              </w:rPr>
            </w:pPr>
          </w:p>
          <w:p w14:paraId="78C352E5" w14:textId="77777777" w:rsidR="005621B6" w:rsidRPr="008B567E" w:rsidRDefault="005621B6" w:rsidP="00224FF0">
            <w:pPr>
              <w:rPr>
                <w:sz w:val="18"/>
                <w:szCs w:val="18"/>
              </w:rPr>
            </w:pPr>
            <w:r w:rsidRPr="008B567E">
              <w:rPr>
                <w:sz w:val="18"/>
                <w:szCs w:val="18"/>
              </w:rPr>
              <w:t>____________________</w:t>
            </w:r>
          </w:p>
        </w:tc>
      </w:tr>
      <w:tr w:rsidR="005621B6" w:rsidRPr="008B567E" w14:paraId="0473D3D2" w14:textId="77777777" w:rsidTr="00224FF0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368CCC0" w14:textId="77777777" w:rsidR="005621B6" w:rsidRPr="008B567E" w:rsidRDefault="005621B6" w:rsidP="00224FF0">
            <w:pPr>
              <w:shd w:val="clear" w:color="auto" w:fill="E2EFD9"/>
              <w:jc w:val="both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8B567E">
              <w:rPr>
                <w:b/>
                <w:sz w:val="18"/>
                <w:szCs w:val="18"/>
              </w:rPr>
              <w:t>Ако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имате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какви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било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коментари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8B567E">
              <w:rPr>
                <w:b/>
                <w:sz w:val="18"/>
                <w:szCs w:val="18"/>
              </w:rPr>
              <w:t>предлози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или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дополнувања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за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предложените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мерки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листа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ПУЖССА </w:t>
            </w:r>
            <w:proofErr w:type="spellStart"/>
            <w:r w:rsidRPr="008B567E">
              <w:rPr>
                <w:b/>
                <w:sz w:val="18"/>
                <w:szCs w:val="18"/>
              </w:rPr>
              <w:t>за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„</w:t>
            </w:r>
            <w:proofErr w:type="spellStart"/>
            <w:r w:rsidRPr="008B567E">
              <w:rPr>
                <w:b/>
                <w:sz w:val="18"/>
                <w:szCs w:val="18"/>
              </w:rPr>
              <w:t>Реконструкција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улици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во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село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Криволак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во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должина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од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250 </w:t>
            </w:r>
            <w:proofErr w:type="spellStart"/>
            <w:r w:rsidRPr="008B567E">
              <w:rPr>
                <w:b/>
                <w:sz w:val="18"/>
                <w:szCs w:val="18"/>
              </w:rPr>
              <w:t>метри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8B567E">
              <w:rPr>
                <w:b/>
                <w:sz w:val="18"/>
                <w:szCs w:val="18"/>
              </w:rPr>
              <w:t>општина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Неготино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B567E">
              <w:rPr>
                <w:b/>
                <w:sz w:val="18"/>
                <w:szCs w:val="18"/>
              </w:rPr>
              <w:t>“ ,</w:t>
            </w:r>
            <w:proofErr w:type="spellStart"/>
            <w:r w:rsidRPr="008B567E">
              <w:rPr>
                <w:b/>
                <w:sz w:val="18"/>
                <w:szCs w:val="18"/>
              </w:rPr>
              <w:t>Ве</w:t>
            </w:r>
            <w:proofErr w:type="spellEnd"/>
            <w:proofErr w:type="gram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молиме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доставете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ги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одговорното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лице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од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следната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институција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: </w:t>
            </w:r>
          </w:p>
          <w:p w14:paraId="5683B7FE" w14:textId="62FC767A" w:rsidR="005621B6" w:rsidRPr="008B567E" w:rsidRDefault="005621B6" w:rsidP="00224FF0">
            <w:pPr>
              <w:shd w:val="clear" w:color="auto" w:fill="E2EFD9"/>
              <w:jc w:val="both"/>
              <w:rPr>
                <w:b/>
                <w:sz w:val="18"/>
                <w:szCs w:val="18"/>
              </w:rPr>
            </w:pPr>
            <w:proofErr w:type="spellStart"/>
            <w:r w:rsidRPr="008B567E">
              <w:rPr>
                <w:b/>
                <w:sz w:val="18"/>
                <w:szCs w:val="18"/>
              </w:rPr>
              <w:t>Контакт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лице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8B567E">
              <w:rPr>
                <w:b/>
                <w:sz w:val="18"/>
                <w:szCs w:val="18"/>
              </w:rPr>
              <w:t>Сашка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Богданова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Ајцева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      e-mail:       </w:t>
            </w:r>
            <w:hyperlink r:id="rId7" w:history="1">
              <w:r w:rsidRPr="00B321EC">
                <w:rPr>
                  <w:rStyle w:val="Hyperlink"/>
                  <w:b/>
                  <w:bCs/>
                  <w:sz w:val="18"/>
                  <w:szCs w:val="18"/>
                  <w:lang w:val="en-GB"/>
                </w:rPr>
                <w:t>saska.bogdanova.ajceva@piu</w:t>
              </w:r>
              <w:r w:rsidRPr="00B321EC">
                <w:rPr>
                  <w:rStyle w:val="Hyperlink"/>
                  <w:b/>
                  <w:bCs/>
                  <w:sz w:val="18"/>
                  <w:szCs w:val="18"/>
                </w:rPr>
                <w:t>.</w:t>
              </w:r>
              <w:r w:rsidRPr="00B321EC">
                <w:rPr>
                  <w:rStyle w:val="Hyperlink"/>
                  <w:b/>
                  <w:bCs/>
                  <w:sz w:val="18"/>
                  <w:szCs w:val="18"/>
                  <w:lang w:val="en-GB"/>
                </w:rPr>
                <w:t>mtc.gov.mk</w:t>
              </w:r>
            </w:hyperlink>
          </w:p>
          <w:p w14:paraId="163667BD" w14:textId="77777777" w:rsidR="005621B6" w:rsidRPr="008B567E" w:rsidRDefault="005621B6" w:rsidP="00224FF0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8B567E">
              <w:rPr>
                <w:b/>
                <w:sz w:val="18"/>
                <w:szCs w:val="18"/>
              </w:rPr>
              <w:t>Во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рок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од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14 </w:t>
            </w:r>
            <w:proofErr w:type="spellStart"/>
            <w:r w:rsidRPr="008B567E">
              <w:rPr>
                <w:b/>
                <w:sz w:val="18"/>
                <w:szCs w:val="18"/>
              </w:rPr>
              <w:t>дена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по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објавувањето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листа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ПУЖССА </w:t>
            </w:r>
            <w:proofErr w:type="spellStart"/>
            <w:r w:rsidRPr="008B567E">
              <w:rPr>
                <w:b/>
                <w:sz w:val="18"/>
                <w:szCs w:val="18"/>
              </w:rPr>
              <w:t>за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„ </w:t>
            </w:r>
            <w:proofErr w:type="spellStart"/>
            <w:r w:rsidRPr="008B567E">
              <w:rPr>
                <w:b/>
                <w:sz w:val="18"/>
                <w:szCs w:val="18"/>
              </w:rPr>
              <w:t>Реконструкција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улици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во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с.Криволак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во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должина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од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250 </w:t>
            </w:r>
            <w:proofErr w:type="spellStart"/>
            <w:r w:rsidRPr="008B567E">
              <w:rPr>
                <w:b/>
                <w:sz w:val="18"/>
                <w:szCs w:val="18"/>
              </w:rPr>
              <w:t>метри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8B567E">
              <w:rPr>
                <w:b/>
                <w:sz w:val="18"/>
                <w:szCs w:val="18"/>
              </w:rPr>
              <w:t>општина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B567E">
              <w:rPr>
                <w:b/>
                <w:sz w:val="18"/>
                <w:szCs w:val="18"/>
              </w:rPr>
              <w:t>Неготино“</w:t>
            </w:r>
            <w:proofErr w:type="gramEnd"/>
          </w:p>
          <w:p w14:paraId="403676AE" w14:textId="77777777" w:rsidR="005621B6" w:rsidRPr="007209B3" w:rsidRDefault="005621B6" w:rsidP="00224FF0">
            <w:pPr>
              <w:jc w:val="both"/>
              <w:rPr>
                <w:b/>
                <w:sz w:val="18"/>
                <w:szCs w:val="18"/>
              </w:rPr>
            </w:pPr>
            <w:r w:rsidRPr="007209B3">
              <w:rPr>
                <w:b/>
                <w:sz w:val="18"/>
                <w:szCs w:val="18"/>
              </w:rPr>
              <w:t>(</w:t>
            </w:r>
            <w:proofErr w:type="spellStart"/>
            <w:r w:rsidRPr="007209B3">
              <w:rPr>
                <w:b/>
                <w:sz w:val="18"/>
                <w:szCs w:val="18"/>
              </w:rPr>
              <w:t>датум</w:t>
            </w:r>
            <w:proofErr w:type="spellEnd"/>
            <w:r w:rsidRPr="007209B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209B3">
              <w:rPr>
                <w:b/>
                <w:sz w:val="18"/>
                <w:szCs w:val="18"/>
              </w:rPr>
              <w:t>на</w:t>
            </w:r>
            <w:proofErr w:type="spellEnd"/>
            <w:r w:rsidRPr="007209B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209B3">
              <w:rPr>
                <w:b/>
                <w:sz w:val="18"/>
                <w:szCs w:val="18"/>
              </w:rPr>
              <w:t>објава</w:t>
            </w:r>
            <w:proofErr w:type="spellEnd"/>
            <w:r w:rsidRPr="007209B3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7209B3">
              <w:rPr>
                <w:b/>
                <w:sz w:val="18"/>
                <w:szCs w:val="18"/>
              </w:rPr>
              <w:t>____________</w:t>
            </w:r>
            <w:proofErr w:type="spellStart"/>
            <w:r w:rsidRPr="007209B3">
              <w:rPr>
                <w:b/>
                <w:sz w:val="18"/>
                <w:szCs w:val="18"/>
              </w:rPr>
              <w:t>година</w:t>
            </w:r>
            <w:proofErr w:type="spellEnd"/>
            <w:r w:rsidRPr="007209B3">
              <w:rPr>
                <w:b/>
                <w:sz w:val="18"/>
                <w:szCs w:val="18"/>
              </w:rPr>
              <w:t>)</w:t>
            </w:r>
          </w:p>
        </w:tc>
      </w:tr>
      <w:tr w:rsidR="005621B6" w:rsidRPr="008B567E" w14:paraId="0131BD90" w14:textId="77777777" w:rsidTr="00224FF0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A91D443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</w:p>
          <w:p w14:paraId="7788F849" w14:textId="77777777" w:rsidR="005621B6" w:rsidRPr="008B567E" w:rsidRDefault="005621B6" w:rsidP="00224FF0">
            <w:pPr>
              <w:rPr>
                <w:b/>
                <w:sz w:val="18"/>
                <w:szCs w:val="18"/>
              </w:rPr>
            </w:pPr>
            <w:proofErr w:type="spellStart"/>
            <w:r w:rsidRPr="008B567E">
              <w:rPr>
                <w:b/>
                <w:sz w:val="18"/>
                <w:szCs w:val="18"/>
              </w:rPr>
              <w:t>Референтен</w:t>
            </w:r>
            <w:proofErr w:type="spellEnd"/>
            <w:r w:rsidRPr="008B56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/>
                <w:sz w:val="18"/>
                <w:szCs w:val="18"/>
              </w:rPr>
              <w:t>број</w:t>
            </w:r>
            <w:proofErr w:type="spellEnd"/>
            <w:r w:rsidRPr="008B567E">
              <w:rPr>
                <w:b/>
                <w:sz w:val="18"/>
                <w:szCs w:val="18"/>
              </w:rPr>
              <w:t>: ______________________________</w:t>
            </w:r>
          </w:p>
          <w:p w14:paraId="5CAA0294" w14:textId="77777777" w:rsidR="005621B6" w:rsidRPr="008B567E" w:rsidRDefault="005621B6" w:rsidP="00224FF0">
            <w:pPr>
              <w:shd w:val="clear" w:color="auto" w:fill="E2EFD9"/>
              <w:jc w:val="center"/>
              <w:rPr>
                <w:b/>
                <w:sz w:val="18"/>
                <w:szCs w:val="18"/>
              </w:rPr>
            </w:pPr>
            <w:r w:rsidRPr="008B567E">
              <w:rPr>
                <w:sz w:val="18"/>
                <w:szCs w:val="18"/>
              </w:rPr>
              <w:t>(</w:t>
            </w:r>
            <w:proofErr w:type="spellStart"/>
            <w:r w:rsidRPr="008B567E">
              <w:rPr>
                <w:bCs/>
                <w:sz w:val="18"/>
                <w:szCs w:val="18"/>
              </w:rPr>
              <w:t>пополнето</w:t>
            </w:r>
            <w:proofErr w:type="spellEnd"/>
            <w:r w:rsidRPr="008B56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Cs/>
                <w:sz w:val="18"/>
                <w:szCs w:val="18"/>
              </w:rPr>
              <w:t>од</w:t>
            </w:r>
            <w:proofErr w:type="spellEnd"/>
            <w:r w:rsidRPr="008B56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Cs/>
                <w:sz w:val="18"/>
                <w:szCs w:val="18"/>
              </w:rPr>
              <w:t>страна</w:t>
            </w:r>
            <w:proofErr w:type="spellEnd"/>
            <w:r w:rsidRPr="008B56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Cs/>
                <w:sz w:val="18"/>
                <w:szCs w:val="18"/>
              </w:rPr>
              <w:t>одговорните</w:t>
            </w:r>
            <w:proofErr w:type="spellEnd"/>
            <w:r w:rsidRPr="008B56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Cs/>
                <w:sz w:val="18"/>
                <w:szCs w:val="18"/>
              </w:rPr>
              <w:t>лица</w:t>
            </w:r>
            <w:proofErr w:type="spellEnd"/>
            <w:r w:rsidRPr="008B56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Cs/>
                <w:sz w:val="18"/>
                <w:szCs w:val="18"/>
              </w:rPr>
              <w:t>за</w:t>
            </w:r>
            <w:proofErr w:type="spellEnd"/>
            <w:r w:rsidRPr="008B56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Cs/>
                <w:sz w:val="18"/>
                <w:szCs w:val="18"/>
              </w:rPr>
              <w:t>спроведување</w:t>
            </w:r>
            <w:proofErr w:type="spellEnd"/>
            <w:r w:rsidRPr="008B56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Cs/>
                <w:sz w:val="18"/>
                <w:szCs w:val="18"/>
              </w:rPr>
              <w:t>на</w:t>
            </w:r>
            <w:proofErr w:type="spellEnd"/>
            <w:r w:rsidRPr="008B56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B567E">
              <w:rPr>
                <w:bCs/>
                <w:sz w:val="18"/>
                <w:szCs w:val="18"/>
              </w:rPr>
              <w:t>проектот</w:t>
            </w:r>
            <w:proofErr w:type="spellEnd"/>
            <w:r w:rsidRPr="008B567E">
              <w:rPr>
                <w:sz w:val="18"/>
                <w:szCs w:val="18"/>
              </w:rPr>
              <w:t>)</w:t>
            </w:r>
          </w:p>
        </w:tc>
      </w:tr>
      <w:bookmarkEnd w:id="0"/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030D5"/>
    <w:rsid w:val="000322B3"/>
    <w:rsid w:val="00082ECD"/>
    <w:rsid w:val="000B2BE4"/>
    <w:rsid w:val="002551C3"/>
    <w:rsid w:val="0025526C"/>
    <w:rsid w:val="00266D12"/>
    <w:rsid w:val="003E1B0F"/>
    <w:rsid w:val="003F06F3"/>
    <w:rsid w:val="0042679D"/>
    <w:rsid w:val="005236A5"/>
    <w:rsid w:val="005621B6"/>
    <w:rsid w:val="005D48DE"/>
    <w:rsid w:val="00642862"/>
    <w:rsid w:val="00651D62"/>
    <w:rsid w:val="007D30D3"/>
    <w:rsid w:val="0085117B"/>
    <w:rsid w:val="008F7651"/>
    <w:rsid w:val="008F7D33"/>
    <w:rsid w:val="0092261D"/>
    <w:rsid w:val="00A447B3"/>
    <w:rsid w:val="00BD1650"/>
    <w:rsid w:val="00C52747"/>
    <w:rsid w:val="00C856A4"/>
    <w:rsid w:val="00CB5783"/>
    <w:rsid w:val="00CC7A23"/>
    <w:rsid w:val="00D63BFD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3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30D5"/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negotino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16</cp:revision>
  <dcterms:created xsi:type="dcterms:W3CDTF">2024-07-11T18:31:00Z</dcterms:created>
  <dcterms:modified xsi:type="dcterms:W3CDTF">2025-09-15T08:25:00Z</dcterms:modified>
</cp:coreProperties>
</file>